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609E" w14:paraId="67BD4DD1" w14:textId="77777777" w:rsidTr="00BD221D">
        <w:trPr>
          <w:cantSplit/>
          <w:trHeight w:hRule="exact" w:val="1440"/>
          <w:jc w:val="right"/>
        </w:trPr>
        <w:tc>
          <w:tcPr>
            <w:tcW w:w="9000" w:type="dxa"/>
            <w:shd w:val="clear" w:color="auto" w:fill="8DC63F"/>
            <w:vAlign w:val="center"/>
          </w:tcPr>
          <w:p w14:paraId="3EF67A49" w14:textId="10A90DF8" w:rsidR="00BD221D" w:rsidRPr="00A107E7" w:rsidRDefault="003D70D3" w:rsidP="00D7679B">
            <w:pPr>
              <w:pStyle w:val="eTRMHeading1"/>
            </w:pPr>
            <w:bookmarkStart w:id="0" w:name="_GoBack"/>
            <w:bookmarkEnd w:id="0"/>
            <w:r w:rsidRPr="00A107E7">
              <w:t>HVAC</w:t>
            </w:r>
          </w:p>
          <w:p w14:paraId="0AF6E009" w14:textId="3DA4698F" w:rsidR="00BD221D" w:rsidRPr="00A107E7" w:rsidRDefault="00A5765D" w:rsidP="00B561EE">
            <w:pPr>
              <w:pStyle w:val="eTRMHeading2"/>
              <w:rPr>
                <w:color w:val="FFFFFF" w:themeColor="background1"/>
                <w:spacing w:val="60"/>
                <w:sz w:val="32"/>
              </w:rPr>
            </w:pPr>
            <w:r>
              <w:rPr>
                <w:color w:val="FFFFFF" w:themeColor="background1"/>
                <w:spacing w:val="60"/>
                <w:sz w:val="32"/>
              </w:rPr>
              <w:t>VSD</w:t>
            </w:r>
            <w:r w:rsidRPr="00A107E7">
              <w:rPr>
                <w:color w:val="FFFFFF" w:themeColor="background1"/>
                <w:spacing w:val="60"/>
                <w:sz w:val="32"/>
              </w:rPr>
              <w:t xml:space="preserve"> </w:t>
            </w:r>
            <w:r w:rsidR="00A107E7" w:rsidRPr="00A107E7">
              <w:rPr>
                <w:color w:val="FFFFFF" w:themeColor="background1"/>
                <w:spacing w:val="60"/>
                <w:sz w:val="32"/>
              </w:rPr>
              <w:t xml:space="preserve">for </w:t>
            </w:r>
            <w:r w:rsidR="00433A68" w:rsidRPr="00A107E7">
              <w:rPr>
                <w:color w:val="FFFFFF" w:themeColor="background1"/>
                <w:spacing w:val="60"/>
                <w:sz w:val="32"/>
              </w:rPr>
              <w:t>Central Plant System</w:t>
            </w:r>
          </w:p>
          <w:p w14:paraId="10BE1877" w14:textId="42DB0FF4" w:rsidR="00A107E7" w:rsidRPr="00A107E7" w:rsidRDefault="00A107E7" w:rsidP="00B561EE">
            <w:pPr>
              <w:pStyle w:val="eTRMHeading2"/>
              <w:rPr>
                <w:color w:val="FFFFFF" w:themeColor="background1"/>
                <w:spacing w:val="0"/>
                <w:sz w:val="28"/>
              </w:rPr>
            </w:pPr>
            <w:r w:rsidRPr="00A107E7">
              <w:rPr>
                <w:color w:val="FFFFFF" w:themeColor="background1"/>
                <w:spacing w:val="0"/>
                <w:sz w:val="28"/>
              </w:rPr>
              <w:t>SWHC008-01</w:t>
            </w:r>
          </w:p>
        </w:tc>
      </w:tr>
    </w:tbl>
    <w:p w14:paraId="645F3ACB" w14:textId="77777777" w:rsidR="00BD221D" w:rsidRPr="0001609E" w:rsidRDefault="00BD221D" w:rsidP="00D37452">
      <w:pPr>
        <w:jc w:val="center"/>
      </w:pPr>
    </w:p>
    <w:p w14:paraId="31745A8D" w14:textId="45DC1270" w:rsidR="00D12B8C" w:rsidRPr="0001609E" w:rsidRDefault="007E1F66" w:rsidP="0053748E">
      <w:pPr>
        <w:jc w:val="center"/>
        <w:rPr>
          <w:spacing w:val="80"/>
          <w:sz w:val="28"/>
        </w:rPr>
      </w:pPr>
      <w:r w:rsidRPr="0001609E">
        <w:rPr>
          <w:spacing w:val="80"/>
          <w:sz w:val="28"/>
        </w:rPr>
        <w:t>CONTENTS</w:t>
      </w:r>
    </w:p>
    <w:p w14:paraId="6B94B004" w14:textId="5FDF611F" w:rsidR="00114D28" w:rsidRDefault="001C6C9B">
      <w:pPr>
        <w:pStyle w:val="TOC3"/>
        <w:rPr>
          <w:rFonts w:asciiTheme="minorHAnsi" w:hAnsiTheme="minorHAnsi"/>
          <w:noProof/>
          <w:szCs w:val="22"/>
        </w:rPr>
      </w:pPr>
      <w:r w:rsidRPr="0001609E">
        <w:fldChar w:fldCharType="begin"/>
      </w:r>
      <w:r w:rsidRPr="0001609E">
        <w:instrText xml:space="preserve"> TOC \t "eTRM Heading 3,3" </w:instrText>
      </w:r>
      <w:r w:rsidRPr="0001609E">
        <w:fldChar w:fldCharType="separate"/>
      </w:r>
      <w:r w:rsidR="00114D28">
        <w:rPr>
          <w:noProof/>
        </w:rPr>
        <w:t>Measure Name</w:t>
      </w:r>
      <w:r w:rsidR="00114D28">
        <w:rPr>
          <w:noProof/>
        </w:rPr>
        <w:tab/>
      </w:r>
      <w:r w:rsidR="00114D28">
        <w:rPr>
          <w:noProof/>
        </w:rPr>
        <w:fldChar w:fldCharType="begin"/>
      </w:r>
      <w:r w:rsidR="00114D28">
        <w:rPr>
          <w:noProof/>
        </w:rPr>
        <w:instrText xml:space="preserve"> PAGEREF _Toc12448774 \h </w:instrText>
      </w:r>
      <w:r w:rsidR="00114D28">
        <w:rPr>
          <w:noProof/>
        </w:rPr>
      </w:r>
      <w:r w:rsidR="00114D28">
        <w:rPr>
          <w:noProof/>
        </w:rPr>
        <w:fldChar w:fldCharType="separate"/>
      </w:r>
      <w:r w:rsidR="00114D28">
        <w:rPr>
          <w:noProof/>
        </w:rPr>
        <w:t>2</w:t>
      </w:r>
      <w:r w:rsidR="00114D28">
        <w:rPr>
          <w:noProof/>
        </w:rPr>
        <w:fldChar w:fldCharType="end"/>
      </w:r>
    </w:p>
    <w:p w14:paraId="42318323" w14:textId="39D83C19" w:rsidR="00114D28" w:rsidRDefault="00114D28">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_Toc12448775 \h </w:instrText>
      </w:r>
      <w:r>
        <w:rPr>
          <w:noProof/>
        </w:rPr>
      </w:r>
      <w:r>
        <w:rPr>
          <w:noProof/>
        </w:rPr>
        <w:fldChar w:fldCharType="separate"/>
      </w:r>
      <w:r>
        <w:rPr>
          <w:noProof/>
        </w:rPr>
        <w:t>2</w:t>
      </w:r>
      <w:r>
        <w:rPr>
          <w:noProof/>
        </w:rPr>
        <w:fldChar w:fldCharType="end"/>
      </w:r>
    </w:p>
    <w:p w14:paraId="0080AEF5" w14:textId="129EB132" w:rsidR="00114D28" w:rsidRDefault="00114D28">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_Toc12448776 \h </w:instrText>
      </w:r>
      <w:r>
        <w:rPr>
          <w:noProof/>
        </w:rPr>
      </w:r>
      <w:r>
        <w:rPr>
          <w:noProof/>
        </w:rPr>
        <w:fldChar w:fldCharType="separate"/>
      </w:r>
      <w:r>
        <w:rPr>
          <w:noProof/>
        </w:rPr>
        <w:t>2</w:t>
      </w:r>
      <w:r>
        <w:rPr>
          <w:noProof/>
        </w:rPr>
        <w:fldChar w:fldCharType="end"/>
      </w:r>
    </w:p>
    <w:p w14:paraId="63C4AD4A" w14:textId="3A0681AC" w:rsidR="00114D28" w:rsidRDefault="00114D28">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_Toc12448777 \h </w:instrText>
      </w:r>
      <w:r>
        <w:rPr>
          <w:noProof/>
        </w:rPr>
      </w:r>
      <w:r>
        <w:rPr>
          <w:noProof/>
        </w:rPr>
        <w:fldChar w:fldCharType="separate"/>
      </w:r>
      <w:r>
        <w:rPr>
          <w:noProof/>
        </w:rPr>
        <w:t>2</w:t>
      </w:r>
      <w:r>
        <w:rPr>
          <w:noProof/>
        </w:rPr>
        <w:fldChar w:fldCharType="end"/>
      </w:r>
    </w:p>
    <w:p w14:paraId="0B38EA3F" w14:textId="727A5725" w:rsidR="00114D28" w:rsidRDefault="00114D28">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_Toc12448778 \h </w:instrText>
      </w:r>
      <w:r>
        <w:rPr>
          <w:noProof/>
        </w:rPr>
      </w:r>
      <w:r>
        <w:rPr>
          <w:noProof/>
        </w:rPr>
        <w:fldChar w:fldCharType="separate"/>
      </w:r>
      <w:r>
        <w:rPr>
          <w:noProof/>
        </w:rPr>
        <w:t>3</w:t>
      </w:r>
      <w:r>
        <w:rPr>
          <w:noProof/>
        </w:rPr>
        <w:fldChar w:fldCharType="end"/>
      </w:r>
    </w:p>
    <w:p w14:paraId="217F2338" w14:textId="7FC3D1CB" w:rsidR="00114D28" w:rsidRDefault="00114D28">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_Toc12448779 \h </w:instrText>
      </w:r>
      <w:r>
        <w:rPr>
          <w:noProof/>
        </w:rPr>
      </w:r>
      <w:r>
        <w:rPr>
          <w:noProof/>
        </w:rPr>
        <w:fldChar w:fldCharType="separate"/>
      </w:r>
      <w:r>
        <w:rPr>
          <w:noProof/>
        </w:rPr>
        <w:t>3</w:t>
      </w:r>
      <w:r>
        <w:rPr>
          <w:noProof/>
        </w:rPr>
        <w:fldChar w:fldCharType="end"/>
      </w:r>
    </w:p>
    <w:p w14:paraId="2576D4E4" w14:textId="3648FC01" w:rsidR="00114D28" w:rsidRDefault="00114D28">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_Toc12448780 \h </w:instrText>
      </w:r>
      <w:r>
        <w:rPr>
          <w:noProof/>
        </w:rPr>
      </w:r>
      <w:r>
        <w:rPr>
          <w:noProof/>
        </w:rPr>
        <w:fldChar w:fldCharType="separate"/>
      </w:r>
      <w:r>
        <w:rPr>
          <w:noProof/>
        </w:rPr>
        <w:t>4</w:t>
      </w:r>
      <w:r>
        <w:rPr>
          <w:noProof/>
        </w:rPr>
        <w:fldChar w:fldCharType="end"/>
      </w:r>
    </w:p>
    <w:p w14:paraId="5AD1F57C" w14:textId="05968805" w:rsidR="00114D28" w:rsidRDefault="00114D28">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_Toc12448781 \h </w:instrText>
      </w:r>
      <w:r>
        <w:rPr>
          <w:noProof/>
        </w:rPr>
      </w:r>
      <w:r>
        <w:rPr>
          <w:noProof/>
        </w:rPr>
        <w:fldChar w:fldCharType="separate"/>
      </w:r>
      <w:r>
        <w:rPr>
          <w:noProof/>
        </w:rPr>
        <w:t>4</w:t>
      </w:r>
      <w:r>
        <w:rPr>
          <w:noProof/>
        </w:rPr>
        <w:fldChar w:fldCharType="end"/>
      </w:r>
    </w:p>
    <w:p w14:paraId="43C37AE7" w14:textId="0689885C" w:rsidR="00114D28" w:rsidRDefault="00114D28">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_Toc12448782 \h </w:instrText>
      </w:r>
      <w:r>
        <w:rPr>
          <w:noProof/>
        </w:rPr>
      </w:r>
      <w:r>
        <w:rPr>
          <w:noProof/>
        </w:rPr>
        <w:fldChar w:fldCharType="separate"/>
      </w:r>
      <w:r>
        <w:rPr>
          <w:noProof/>
        </w:rPr>
        <w:t>6</w:t>
      </w:r>
      <w:r>
        <w:rPr>
          <w:noProof/>
        </w:rPr>
        <w:fldChar w:fldCharType="end"/>
      </w:r>
    </w:p>
    <w:p w14:paraId="3D4EB620" w14:textId="572C38B5" w:rsidR="00114D28" w:rsidRDefault="00114D28">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_Toc12448783 \h </w:instrText>
      </w:r>
      <w:r>
        <w:rPr>
          <w:noProof/>
        </w:rPr>
      </w:r>
      <w:r>
        <w:rPr>
          <w:noProof/>
        </w:rPr>
        <w:fldChar w:fldCharType="separate"/>
      </w:r>
      <w:r>
        <w:rPr>
          <w:noProof/>
        </w:rPr>
        <w:t>6</w:t>
      </w:r>
      <w:r>
        <w:rPr>
          <w:noProof/>
        </w:rPr>
        <w:fldChar w:fldCharType="end"/>
      </w:r>
    </w:p>
    <w:p w14:paraId="0FADCB09" w14:textId="29B03A6D" w:rsidR="00114D28" w:rsidRDefault="00114D28">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_Toc12448784 \h </w:instrText>
      </w:r>
      <w:r>
        <w:rPr>
          <w:noProof/>
        </w:rPr>
      </w:r>
      <w:r>
        <w:rPr>
          <w:noProof/>
        </w:rPr>
        <w:fldChar w:fldCharType="separate"/>
      </w:r>
      <w:r>
        <w:rPr>
          <w:noProof/>
        </w:rPr>
        <w:t>6</w:t>
      </w:r>
      <w:r>
        <w:rPr>
          <w:noProof/>
        </w:rPr>
        <w:fldChar w:fldCharType="end"/>
      </w:r>
    </w:p>
    <w:p w14:paraId="1952D0D8" w14:textId="3987B2C7" w:rsidR="00114D28" w:rsidRDefault="00114D28">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_Toc12448785 \h </w:instrText>
      </w:r>
      <w:r>
        <w:rPr>
          <w:noProof/>
        </w:rPr>
      </w:r>
      <w:r>
        <w:rPr>
          <w:noProof/>
        </w:rPr>
        <w:fldChar w:fldCharType="separate"/>
      </w:r>
      <w:r>
        <w:rPr>
          <w:noProof/>
        </w:rPr>
        <w:t>7</w:t>
      </w:r>
      <w:r>
        <w:rPr>
          <w:noProof/>
        </w:rPr>
        <w:fldChar w:fldCharType="end"/>
      </w:r>
    </w:p>
    <w:p w14:paraId="1922A744" w14:textId="46EB5B5D" w:rsidR="00114D28" w:rsidRDefault="00114D28">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_Toc12448786 \h </w:instrText>
      </w:r>
      <w:r>
        <w:rPr>
          <w:noProof/>
        </w:rPr>
      </w:r>
      <w:r>
        <w:rPr>
          <w:noProof/>
        </w:rPr>
        <w:fldChar w:fldCharType="separate"/>
      </w:r>
      <w:r>
        <w:rPr>
          <w:noProof/>
        </w:rPr>
        <w:t>8</w:t>
      </w:r>
      <w:r>
        <w:rPr>
          <w:noProof/>
        </w:rPr>
        <w:fldChar w:fldCharType="end"/>
      </w:r>
    </w:p>
    <w:p w14:paraId="6177A967" w14:textId="5716D070" w:rsidR="00114D28" w:rsidRDefault="00114D28">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_Toc12448787 \h </w:instrText>
      </w:r>
      <w:r>
        <w:rPr>
          <w:noProof/>
        </w:rPr>
      </w:r>
      <w:r>
        <w:rPr>
          <w:noProof/>
        </w:rPr>
        <w:fldChar w:fldCharType="separate"/>
      </w:r>
      <w:r>
        <w:rPr>
          <w:noProof/>
        </w:rPr>
        <w:t>9</w:t>
      </w:r>
      <w:r>
        <w:rPr>
          <w:noProof/>
        </w:rPr>
        <w:fldChar w:fldCharType="end"/>
      </w:r>
    </w:p>
    <w:p w14:paraId="46AABC1E" w14:textId="3EA60C86" w:rsidR="00114D28" w:rsidRDefault="00114D28">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_Toc12448788 \h </w:instrText>
      </w:r>
      <w:r>
        <w:rPr>
          <w:noProof/>
        </w:rPr>
      </w:r>
      <w:r>
        <w:rPr>
          <w:noProof/>
        </w:rPr>
        <w:fldChar w:fldCharType="separate"/>
      </w:r>
      <w:r>
        <w:rPr>
          <w:noProof/>
        </w:rPr>
        <w:t>9</w:t>
      </w:r>
      <w:r>
        <w:rPr>
          <w:noProof/>
        </w:rPr>
        <w:fldChar w:fldCharType="end"/>
      </w:r>
    </w:p>
    <w:p w14:paraId="1EFFB3BA" w14:textId="55F89673" w:rsidR="00114D28" w:rsidRDefault="00114D28">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_Toc12448789 \h </w:instrText>
      </w:r>
      <w:r>
        <w:rPr>
          <w:noProof/>
        </w:rPr>
      </w:r>
      <w:r>
        <w:rPr>
          <w:noProof/>
        </w:rPr>
        <w:fldChar w:fldCharType="separate"/>
      </w:r>
      <w:r>
        <w:rPr>
          <w:noProof/>
        </w:rPr>
        <w:t>10</w:t>
      </w:r>
      <w:r>
        <w:rPr>
          <w:noProof/>
        </w:rPr>
        <w:fldChar w:fldCharType="end"/>
      </w:r>
    </w:p>
    <w:p w14:paraId="529E9E77" w14:textId="1D81381A" w:rsidR="00114D28" w:rsidRDefault="00114D28">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_Toc12448790 \h </w:instrText>
      </w:r>
      <w:r>
        <w:rPr>
          <w:noProof/>
        </w:rPr>
      </w:r>
      <w:r>
        <w:rPr>
          <w:noProof/>
        </w:rPr>
        <w:fldChar w:fldCharType="separate"/>
      </w:r>
      <w:r>
        <w:rPr>
          <w:noProof/>
        </w:rPr>
        <w:t>10</w:t>
      </w:r>
      <w:r>
        <w:rPr>
          <w:noProof/>
        </w:rPr>
        <w:fldChar w:fldCharType="end"/>
      </w:r>
    </w:p>
    <w:p w14:paraId="2A322867" w14:textId="06D713E9" w:rsidR="00114D28" w:rsidRDefault="00114D28">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_Toc12448791 \h </w:instrText>
      </w:r>
      <w:r>
        <w:rPr>
          <w:noProof/>
        </w:rPr>
      </w:r>
      <w:r>
        <w:rPr>
          <w:noProof/>
        </w:rPr>
        <w:fldChar w:fldCharType="separate"/>
      </w:r>
      <w:r>
        <w:rPr>
          <w:noProof/>
        </w:rPr>
        <w:t>10</w:t>
      </w:r>
      <w:r>
        <w:rPr>
          <w:noProof/>
        </w:rPr>
        <w:fldChar w:fldCharType="end"/>
      </w:r>
    </w:p>
    <w:p w14:paraId="6144C3D8" w14:textId="5F36CA1C" w:rsidR="00114D28" w:rsidRDefault="00114D28">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_Toc12448792 \h </w:instrText>
      </w:r>
      <w:r>
        <w:rPr>
          <w:noProof/>
        </w:rPr>
      </w:r>
      <w:r>
        <w:rPr>
          <w:noProof/>
        </w:rPr>
        <w:fldChar w:fldCharType="separate"/>
      </w:r>
      <w:r>
        <w:rPr>
          <w:noProof/>
        </w:rPr>
        <w:t>10</w:t>
      </w:r>
      <w:r>
        <w:rPr>
          <w:noProof/>
        </w:rPr>
        <w:fldChar w:fldCharType="end"/>
      </w:r>
    </w:p>
    <w:p w14:paraId="261A19CD" w14:textId="372B67A6" w:rsidR="00114D28" w:rsidRDefault="00114D28">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_Toc12448793 \h </w:instrText>
      </w:r>
      <w:r>
        <w:rPr>
          <w:noProof/>
        </w:rPr>
      </w:r>
      <w:r>
        <w:rPr>
          <w:noProof/>
        </w:rPr>
        <w:fldChar w:fldCharType="separate"/>
      </w:r>
      <w:r>
        <w:rPr>
          <w:noProof/>
        </w:rPr>
        <w:t>10</w:t>
      </w:r>
      <w:r>
        <w:rPr>
          <w:noProof/>
        </w:rPr>
        <w:fldChar w:fldCharType="end"/>
      </w:r>
    </w:p>
    <w:p w14:paraId="525C8944" w14:textId="6783E3E6" w:rsidR="00114D28" w:rsidRDefault="00114D28">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_Toc12448794 \h </w:instrText>
      </w:r>
      <w:r>
        <w:rPr>
          <w:noProof/>
        </w:rPr>
      </w:r>
      <w:r>
        <w:rPr>
          <w:noProof/>
        </w:rPr>
        <w:fldChar w:fldCharType="separate"/>
      </w:r>
      <w:r>
        <w:rPr>
          <w:noProof/>
        </w:rPr>
        <w:t>11</w:t>
      </w:r>
      <w:r>
        <w:rPr>
          <w:noProof/>
        </w:rPr>
        <w:fldChar w:fldCharType="end"/>
      </w:r>
    </w:p>
    <w:p w14:paraId="430ACD98" w14:textId="6FC4FC10" w:rsidR="00114D28" w:rsidRDefault="00114D28">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_Toc12448795 \h </w:instrText>
      </w:r>
      <w:r>
        <w:rPr>
          <w:noProof/>
        </w:rPr>
      </w:r>
      <w:r>
        <w:rPr>
          <w:noProof/>
        </w:rPr>
        <w:fldChar w:fldCharType="separate"/>
      </w:r>
      <w:r>
        <w:rPr>
          <w:noProof/>
        </w:rPr>
        <w:t>11</w:t>
      </w:r>
      <w:r>
        <w:rPr>
          <w:noProof/>
        </w:rPr>
        <w:fldChar w:fldCharType="end"/>
      </w:r>
    </w:p>
    <w:p w14:paraId="107E1C89" w14:textId="4919EB68" w:rsidR="00114D28" w:rsidRDefault="00114D28">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_Toc12448796 \h </w:instrText>
      </w:r>
      <w:r>
        <w:rPr>
          <w:noProof/>
        </w:rPr>
      </w:r>
      <w:r>
        <w:rPr>
          <w:noProof/>
        </w:rPr>
        <w:fldChar w:fldCharType="separate"/>
      </w:r>
      <w:r>
        <w:rPr>
          <w:noProof/>
        </w:rPr>
        <w:t>11</w:t>
      </w:r>
      <w:r>
        <w:rPr>
          <w:noProof/>
        </w:rPr>
        <w:fldChar w:fldCharType="end"/>
      </w:r>
    </w:p>
    <w:p w14:paraId="51195EDA" w14:textId="2182D822" w:rsidR="00114D28" w:rsidRDefault="00114D28">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_Toc12448797 \h </w:instrText>
      </w:r>
      <w:r>
        <w:rPr>
          <w:noProof/>
        </w:rPr>
      </w:r>
      <w:r>
        <w:rPr>
          <w:noProof/>
        </w:rPr>
        <w:fldChar w:fldCharType="separate"/>
      </w:r>
      <w:r>
        <w:rPr>
          <w:noProof/>
        </w:rPr>
        <w:t>12</w:t>
      </w:r>
      <w:r>
        <w:rPr>
          <w:noProof/>
        </w:rPr>
        <w:fldChar w:fldCharType="end"/>
      </w:r>
    </w:p>
    <w:p w14:paraId="4C194BAF" w14:textId="4F69F9B7" w:rsidR="001C6C9B" w:rsidRPr="0001609E" w:rsidRDefault="001C6C9B" w:rsidP="00D12B8C">
      <w:r w:rsidRPr="0001609E">
        <w:fldChar w:fldCharType="end"/>
      </w:r>
    </w:p>
    <w:p w14:paraId="7DD78D3A" w14:textId="77777777" w:rsidR="007E1F66" w:rsidRPr="0001609E" w:rsidRDefault="007E1F66" w:rsidP="0016415E">
      <w:pPr>
        <w:pStyle w:val="eTRMHeading3"/>
        <w:sectPr w:rsidR="007E1F66" w:rsidRPr="0001609E"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39F3CABB" w14:textId="77777777" w:rsidR="00871123" w:rsidRPr="0001609E" w:rsidRDefault="00871123">
      <w:pPr>
        <w:pStyle w:val="eTRMHeading3"/>
      </w:pPr>
      <w:bookmarkStart w:id="1" w:name="_Toc486490839"/>
      <w:bookmarkStart w:id="2" w:name="_Toc486580912"/>
      <w:bookmarkStart w:id="3" w:name="_Toc12448774"/>
      <w:r w:rsidRPr="0001609E">
        <w:lastRenderedPageBreak/>
        <w:t>Measure Name</w:t>
      </w:r>
      <w:bookmarkEnd w:id="1"/>
      <w:bookmarkEnd w:id="2"/>
      <w:bookmarkEnd w:id="3"/>
    </w:p>
    <w:p w14:paraId="3B952704" w14:textId="293AB049" w:rsidR="00871123" w:rsidRPr="0001609E" w:rsidRDefault="00B07D4B" w:rsidP="00462BB6">
      <w:pPr>
        <w:spacing w:before="20" w:after="20" w:line="280" w:lineRule="exact"/>
      </w:pPr>
      <w:r>
        <w:t xml:space="preserve">Variable </w:t>
      </w:r>
      <w:r w:rsidR="00A5765D">
        <w:t xml:space="preserve">Speed </w:t>
      </w:r>
      <w:r>
        <w:t>Drive</w:t>
      </w:r>
      <w:r w:rsidR="00433A68">
        <w:t xml:space="preserve"> </w:t>
      </w:r>
      <w:r w:rsidR="00464A8E">
        <w:t>for</w:t>
      </w:r>
      <w:r w:rsidR="00433A68">
        <w:t xml:space="preserve"> a Central Plant System</w:t>
      </w:r>
    </w:p>
    <w:p w14:paraId="4EAED972" w14:textId="77777777" w:rsidR="00871123" w:rsidRPr="0001609E" w:rsidRDefault="00871123" w:rsidP="00462BB6">
      <w:pPr>
        <w:spacing w:before="20" w:after="20" w:line="280" w:lineRule="exact"/>
      </w:pPr>
    </w:p>
    <w:p w14:paraId="6406A9D4" w14:textId="77777777" w:rsidR="00871123" w:rsidRPr="0001609E" w:rsidRDefault="00871123">
      <w:pPr>
        <w:pStyle w:val="eTRMHeading3"/>
      </w:pPr>
      <w:bookmarkStart w:id="4" w:name="_Toc486490840"/>
      <w:bookmarkStart w:id="5" w:name="_Toc486580913"/>
      <w:bookmarkStart w:id="6" w:name="_Toc12448775"/>
      <w:r w:rsidRPr="0001609E">
        <w:t>Statewide Measure ID</w:t>
      </w:r>
      <w:bookmarkEnd w:id="4"/>
      <w:bookmarkEnd w:id="5"/>
      <w:bookmarkEnd w:id="6"/>
    </w:p>
    <w:p w14:paraId="6EAE2100" w14:textId="44D61F45" w:rsidR="00871123" w:rsidRPr="0001609E" w:rsidRDefault="00A107E7" w:rsidP="00A107E7">
      <w:r>
        <w:t>SWHC008-01</w:t>
      </w:r>
    </w:p>
    <w:p w14:paraId="2B553EA2" w14:textId="77777777" w:rsidR="00871123" w:rsidRPr="0001609E" w:rsidRDefault="00871123" w:rsidP="00A107E7"/>
    <w:p w14:paraId="0F7CA2E6" w14:textId="77777777" w:rsidR="00E70CBD" w:rsidRPr="0001609E" w:rsidRDefault="00E70CBD" w:rsidP="0016415E">
      <w:pPr>
        <w:pStyle w:val="eTRMHeading3"/>
      </w:pPr>
      <w:bookmarkStart w:id="7" w:name="_Toc486490847"/>
      <w:bookmarkStart w:id="8" w:name="_Toc486580918"/>
      <w:bookmarkStart w:id="9" w:name="_Toc12448776"/>
      <w:r w:rsidRPr="0001609E">
        <w:t>Technology Summary</w:t>
      </w:r>
      <w:bookmarkEnd w:id="7"/>
      <w:bookmarkEnd w:id="8"/>
      <w:bookmarkEnd w:id="9"/>
      <w:r w:rsidRPr="0001609E">
        <w:t xml:space="preserve"> </w:t>
      </w:r>
    </w:p>
    <w:p w14:paraId="28E8854F" w14:textId="2B0CF2B3" w:rsidR="002C76C3" w:rsidRDefault="00464A8E" w:rsidP="003077CB">
      <w:pPr>
        <w:rPr>
          <w:rFonts w:cstheme="minorHAnsi"/>
        </w:rPr>
      </w:pPr>
      <w:r>
        <w:rPr>
          <w:rFonts w:cstheme="minorHAnsi"/>
        </w:rPr>
        <w:t>A c</w:t>
      </w:r>
      <w:r w:rsidR="003077CB">
        <w:rPr>
          <w:rFonts w:cstheme="minorHAnsi"/>
        </w:rPr>
        <w:t>entral plant system provide</w:t>
      </w:r>
      <w:r>
        <w:rPr>
          <w:rFonts w:cstheme="minorHAnsi"/>
        </w:rPr>
        <w:t>s</w:t>
      </w:r>
      <w:r w:rsidR="003077CB">
        <w:rPr>
          <w:rFonts w:cstheme="minorHAnsi"/>
        </w:rPr>
        <w:t xml:space="preserve"> space cooling to a building by cooling water in a chiller and circulating this chilled water through a chilled water coil in an air handler or throughout the building zones. </w:t>
      </w:r>
      <w:r>
        <w:rPr>
          <w:rFonts w:cstheme="minorHAnsi"/>
        </w:rPr>
        <w:t>A c</w:t>
      </w:r>
      <w:r w:rsidR="003077CB">
        <w:rPr>
          <w:rFonts w:cstheme="minorHAnsi"/>
        </w:rPr>
        <w:t xml:space="preserve">hiller </w:t>
      </w:r>
      <w:r>
        <w:rPr>
          <w:rFonts w:cstheme="minorHAnsi"/>
        </w:rPr>
        <w:t>is either</w:t>
      </w:r>
      <w:r w:rsidR="003077CB">
        <w:rPr>
          <w:rFonts w:cstheme="minorHAnsi"/>
        </w:rPr>
        <w:t xml:space="preserve"> air-cooled or water-cooled</w:t>
      </w:r>
      <w:r w:rsidR="002C76C3">
        <w:rPr>
          <w:rFonts w:cstheme="minorHAnsi"/>
        </w:rPr>
        <w:t>;</w:t>
      </w:r>
      <w:r w:rsidR="003077CB">
        <w:rPr>
          <w:rFonts w:cstheme="minorHAnsi"/>
        </w:rPr>
        <w:t xml:space="preserve"> </w:t>
      </w:r>
      <w:r w:rsidR="002C76C3">
        <w:rPr>
          <w:rFonts w:cstheme="minorHAnsi"/>
        </w:rPr>
        <w:t>in</w:t>
      </w:r>
      <w:r w:rsidR="003077CB">
        <w:rPr>
          <w:rFonts w:cstheme="minorHAnsi"/>
        </w:rPr>
        <w:t xml:space="preserve"> </w:t>
      </w:r>
      <w:r>
        <w:rPr>
          <w:rFonts w:cstheme="minorHAnsi"/>
        </w:rPr>
        <w:t xml:space="preserve">a </w:t>
      </w:r>
      <w:r w:rsidR="003077CB">
        <w:rPr>
          <w:rFonts w:cstheme="minorHAnsi"/>
        </w:rPr>
        <w:t xml:space="preserve">water-cooled chiller a separate water loop absorbs heat from the chiller which is then rejected by a cooling tower. </w:t>
      </w:r>
      <w:r w:rsidR="00F11671">
        <w:rPr>
          <w:rFonts w:cstheme="minorHAnsi"/>
        </w:rPr>
        <w:t>A</w:t>
      </w:r>
      <w:r w:rsidR="003077CB">
        <w:rPr>
          <w:rFonts w:cstheme="minorHAnsi"/>
        </w:rPr>
        <w:t xml:space="preserve"> significant amount of energy is </w:t>
      </w:r>
      <w:r w:rsidR="002C76C3">
        <w:rPr>
          <w:rFonts w:cstheme="minorHAnsi"/>
        </w:rPr>
        <w:t xml:space="preserve">required for the </w:t>
      </w:r>
      <w:r w:rsidR="003077CB">
        <w:rPr>
          <w:rFonts w:cstheme="minorHAnsi"/>
        </w:rPr>
        <w:t>pumps to circulate water</w:t>
      </w:r>
      <w:r w:rsidR="00F11671">
        <w:rPr>
          <w:rFonts w:cstheme="minorHAnsi"/>
        </w:rPr>
        <w:t xml:space="preserve"> in these types systems</w:t>
      </w:r>
      <w:r w:rsidR="003077CB">
        <w:rPr>
          <w:rFonts w:cstheme="minorHAnsi"/>
        </w:rPr>
        <w:t xml:space="preserve">. </w:t>
      </w:r>
    </w:p>
    <w:p w14:paraId="3B0F2F30" w14:textId="66108517" w:rsidR="00723FBE" w:rsidRDefault="00464A8E" w:rsidP="003077CB">
      <w:pPr>
        <w:rPr>
          <w:rFonts w:cstheme="minorHAnsi"/>
        </w:rPr>
      </w:pPr>
      <w:r>
        <w:rPr>
          <w:rFonts w:cstheme="minorHAnsi"/>
        </w:rPr>
        <w:t>A c</w:t>
      </w:r>
      <w:r w:rsidR="002C76C3" w:rsidRPr="00E44866">
        <w:rPr>
          <w:rFonts w:cstheme="minorHAnsi"/>
        </w:rPr>
        <w:t>hilled water pump (</w:t>
      </w:r>
      <w:r w:rsidR="003077CB" w:rsidRPr="00E44866">
        <w:rPr>
          <w:rFonts w:cstheme="minorHAnsi"/>
        </w:rPr>
        <w:t>CHW</w:t>
      </w:r>
      <w:r w:rsidR="002C76C3" w:rsidRPr="00E44866">
        <w:rPr>
          <w:rFonts w:cstheme="minorHAnsi"/>
        </w:rPr>
        <w:t>P)</w:t>
      </w:r>
      <w:r w:rsidR="003077CB" w:rsidRPr="00E44866">
        <w:rPr>
          <w:rFonts w:cstheme="minorHAnsi"/>
        </w:rPr>
        <w:t xml:space="preserve"> circulate</w:t>
      </w:r>
      <w:r>
        <w:rPr>
          <w:rFonts w:cstheme="minorHAnsi"/>
        </w:rPr>
        <w:t>s</w:t>
      </w:r>
      <w:r w:rsidR="003077CB" w:rsidRPr="00E44866">
        <w:rPr>
          <w:rFonts w:cstheme="minorHAnsi"/>
        </w:rPr>
        <w:t xml:space="preserve"> water cooled by the chiller and </w:t>
      </w:r>
      <w:r>
        <w:rPr>
          <w:rFonts w:cstheme="minorHAnsi"/>
        </w:rPr>
        <w:t xml:space="preserve">a </w:t>
      </w:r>
      <w:r w:rsidR="002C76C3" w:rsidRPr="00E44866">
        <w:rPr>
          <w:rFonts w:cstheme="minorHAnsi"/>
        </w:rPr>
        <w:t>condenser water pump (</w:t>
      </w:r>
      <w:r w:rsidR="003077CB" w:rsidRPr="00E44866">
        <w:rPr>
          <w:rFonts w:cstheme="minorHAnsi"/>
        </w:rPr>
        <w:t>CW</w:t>
      </w:r>
      <w:r w:rsidR="002C76C3" w:rsidRPr="00E44866">
        <w:rPr>
          <w:rFonts w:cstheme="minorHAnsi"/>
        </w:rPr>
        <w:t>P)</w:t>
      </w:r>
      <w:r w:rsidR="003077CB">
        <w:rPr>
          <w:rFonts w:cstheme="minorHAnsi"/>
        </w:rPr>
        <w:t xml:space="preserve"> circulate</w:t>
      </w:r>
      <w:r>
        <w:rPr>
          <w:rFonts w:cstheme="minorHAnsi"/>
        </w:rPr>
        <w:t>s</w:t>
      </w:r>
      <w:r w:rsidR="003077CB">
        <w:rPr>
          <w:rFonts w:cstheme="minorHAnsi"/>
        </w:rPr>
        <w:t xml:space="preserve"> the water that transfers heat between the chiller and the cooling tower. These pumps are designed to meet peak load conditions, when the equipment must </w:t>
      </w:r>
      <w:r w:rsidR="002C76C3">
        <w:rPr>
          <w:rFonts w:cstheme="minorHAnsi"/>
        </w:rPr>
        <w:t>operate</w:t>
      </w:r>
      <w:r w:rsidR="003077CB">
        <w:rPr>
          <w:rFonts w:cstheme="minorHAnsi"/>
        </w:rPr>
        <w:t xml:space="preserve"> at approximately 100% </w:t>
      </w:r>
      <w:r w:rsidR="002C76C3">
        <w:rPr>
          <w:rFonts w:cstheme="minorHAnsi"/>
        </w:rPr>
        <w:t xml:space="preserve">of </w:t>
      </w:r>
      <w:r w:rsidR="003077CB">
        <w:rPr>
          <w:rFonts w:cstheme="minorHAnsi"/>
        </w:rPr>
        <w:t xml:space="preserve">the system design capacity. However, </w:t>
      </w:r>
      <w:r w:rsidR="00E44866">
        <w:rPr>
          <w:rFonts w:cstheme="minorHAnsi"/>
        </w:rPr>
        <w:t>most of</w:t>
      </w:r>
      <w:r w:rsidR="003077CB">
        <w:rPr>
          <w:rFonts w:cstheme="minorHAnsi"/>
        </w:rPr>
        <w:t xml:space="preserve"> the time the demand for cooling is less than the peak design capacity. </w:t>
      </w:r>
    </w:p>
    <w:p w14:paraId="6C6AFDA3" w14:textId="79865DB8" w:rsidR="003077CB" w:rsidRPr="00CE57FB" w:rsidRDefault="00723FBE" w:rsidP="003077CB">
      <w:pPr>
        <w:rPr>
          <w:rFonts w:cstheme="minorHAnsi"/>
        </w:rPr>
      </w:pPr>
      <w:r>
        <w:rPr>
          <w:rFonts w:cstheme="minorHAnsi"/>
        </w:rPr>
        <w:t>E</w:t>
      </w:r>
      <w:r w:rsidR="003077CB">
        <w:rPr>
          <w:rFonts w:cstheme="minorHAnsi"/>
        </w:rPr>
        <w:t xml:space="preserve">nergy savings </w:t>
      </w:r>
      <w:r w:rsidR="002C76C3">
        <w:rPr>
          <w:rFonts w:cstheme="minorHAnsi"/>
        </w:rPr>
        <w:t xml:space="preserve">and demand reduction </w:t>
      </w:r>
      <w:r>
        <w:rPr>
          <w:rFonts w:cstheme="minorHAnsi"/>
        </w:rPr>
        <w:t xml:space="preserve">result from varying the </w:t>
      </w:r>
      <w:r w:rsidR="003077CB">
        <w:rPr>
          <w:rFonts w:cstheme="minorHAnsi"/>
        </w:rPr>
        <w:t>pump speed to meet actual load.</w:t>
      </w:r>
      <w:r>
        <w:rPr>
          <w:rFonts w:cstheme="minorHAnsi"/>
        </w:rPr>
        <w:t xml:space="preserve"> A </w:t>
      </w:r>
      <w:r w:rsidR="00464A8E">
        <w:rPr>
          <w:rFonts w:cstheme="minorHAnsi"/>
        </w:rPr>
        <w:t>v</w:t>
      </w:r>
      <w:r w:rsidR="003077CB">
        <w:rPr>
          <w:rFonts w:cstheme="minorHAnsi"/>
        </w:rPr>
        <w:t xml:space="preserve">ariable </w:t>
      </w:r>
      <w:r w:rsidR="00A5765D">
        <w:rPr>
          <w:rFonts w:cstheme="minorHAnsi"/>
        </w:rPr>
        <w:t xml:space="preserve">speed </w:t>
      </w:r>
      <w:r w:rsidR="003077CB">
        <w:rPr>
          <w:rFonts w:cstheme="minorHAnsi"/>
        </w:rPr>
        <w:t>drive</w:t>
      </w:r>
      <w:r w:rsidR="002C76C3">
        <w:rPr>
          <w:rFonts w:cstheme="minorHAnsi"/>
        </w:rPr>
        <w:t xml:space="preserve"> (VSD)</w:t>
      </w:r>
      <w:r w:rsidR="003077CB">
        <w:rPr>
          <w:rFonts w:cstheme="minorHAnsi"/>
        </w:rPr>
        <w:t xml:space="preserve"> control</w:t>
      </w:r>
      <w:r>
        <w:rPr>
          <w:rFonts w:cstheme="minorHAnsi"/>
        </w:rPr>
        <w:t>s</w:t>
      </w:r>
      <w:r w:rsidR="003077CB">
        <w:rPr>
          <w:rFonts w:cstheme="minorHAnsi"/>
        </w:rPr>
        <w:t xml:space="preserve"> </w:t>
      </w:r>
      <w:r w:rsidR="006B18EF">
        <w:rPr>
          <w:rFonts w:cstheme="minorHAnsi"/>
        </w:rPr>
        <w:t xml:space="preserve">the </w:t>
      </w:r>
      <w:r w:rsidR="003077CB">
        <w:rPr>
          <w:rFonts w:cstheme="minorHAnsi"/>
        </w:rPr>
        <w:t>motor speed by varying the frequency and voltage of the pump motor.</w:t>
      </w:r>
      <w:r>
        <w:rPr>
          <w:rFonts w:cstheme="minorHAnsi"/>
        </w:rPr>
        <w:t xml:space="preserve"> A</w:t>
      </w:r>
      <w:r w:rsidR="003077CB">
        <w:rPr>
          <w:rFonts w:cstheme="minorHAnsi"/>
        </w:rPr>
        <w:t xml:space="preserve"> </w:t>
      </w:r>
      <w:r w:rsidR="00A5765D">
        <w:rPr>
          <w:rFonts w:cstheme="minorHAnsi"/>
        </w:rPr>
        <w:t xml:space="preserve">VSD </w:t>
      </w:r>
      <w:r>
        <w:rPr>
          <w:rFonts w:cstheme="minorHAnsi"/>
        </w:rPr>
        <w:t>can be</w:t>
      </w:r>
      <w:r w:rsidR="003077CB">
        <w:rPr>
          <w:rFonts w:cstheme="minorHAnsi"/>
        </w:rPr>
        <w:t xml:space="preserve"> programmed to reduce pump speed to meet actual load</w:t>
      </w:r>
      <w:r w:rsidR="002C76C3">
        <w:rPr>
          <w:rFonts w:cstheme="minorHAnsi"/>
        </w:rPr>
        <w:t>;</w:t>
      </w:r>
      <w:r w:rsidR="003077CB">
        <w:rPr>
          <w:rFonts w:cstheme="minorHAnsi"/>
        </w:rPr>
        <w:t xml:space="preserve"> reducing pump speed when </w:t>
      </w:r>
      <w:r w:rsidR="002C76C3">
        <w:rPr>
          <w:rFonts w:cstheme="minorHAnsi"/>
        </w:rPr>
        <w:t xml:space="preserve">the </w:t>
      </w:r>
      <w:r w:rsidR="003077CB">
        <w:rPr>
          <w:rFonts w:cstheme="minorHAnsi"/>
        </w:rPr>
        <w:t>load drop</w:t>
      </w:r>
      <w:r w:rsidR="002C76C3">
        <w:rPr>
          <w:rFonts w:cstheme="minorHAnsi"/>
        </w:rPr>
        <w:t>s</w:t>
      </w:r>
      <w:r w:rsidR="003077CB">
        <w:rPr>
          <w:rFonts w:cstheme="minorHAnsi"/>
        </w:rPr>
        <w:t xml:space="preserve"> below design conditions</w:t>
      </w:r>
      <w:r w:rsidR="002C76C3">
        <w:rPr>
          <w:rFonts w:cstheme="minorHAnsi"/>
        </w:rPr>
        <w:t xml:space="preserve"> will yield</w:t>
      </w:r>
      <w:r w:rsidR="003077CB">
        <w:rPr>
          <w:rFonts w:cstheme="minorHAnsi"/>
        </w:rPr>
        <w:t xml:space="preserve"> significant pump energy savings throughout the year.</w:t>
      </w:r>
    </w:p>
    <w:p w14:paraId="04BCB899" w14:textId="77777777" w:rsidR="003077CB" w:rsidRPr="0001609E" w:rsidRDefault="003077CB" w:rsidP="003077CB"/>
    <w:p w14:paraId="5AF18021" w14:textId="77777777" w:rsidR="007D230B" w:rsidRPr="0001609E" w:rsidRDefault="007D230B" w:rsidP="0016415E">
      <w:pPr>
        <w:pStyle w:val="eTRMHeading3"/>
      </w:pPr>
      <w:bookmarkStart w:id="10" w:name="_Toc486490848"/>
      <w:bookmarkStart w:id="11" w:name="_Toc486580919"/>
      <w:bookmarkStart w:id="12" w:name="_Toc12448777"/>
      <w:r w:rsidRPr="0001609E">
        <w:t>Measure Case Description</w:t>
      </w:r>
      <w:bookmarkEnd w:id="10"/>
      <w:bookmarkEnd w:id="11"/>
      <w:bookmarkEnd w:id="12"/>
    </w:p>
    <w:p w14:paraId="302FDACE" w14:textId="32C64438" w:rsidR="0044543F" w:rsidRDefault="008659C5" w:rsidP="003077CB">
      <w:pPr>
        <w:rPr>
          <w:rFonts w:cs="Arial"/>
          <w:szCs w:val="20"/>
        </w:rPr>
      </w:pPr>
      <w:r>
        <w:rPr>
          <w:rFonts w:cstheme="minorHAnsi"/>
          <w:szCs w:val="20"/>
        </w:rPr>
        <w:t>The measure case is defined as</w:t>
      </w:r>
      <w:r w:rsidR="001501B3" w:rsidRPr="00C9082E">
        <w:rPr>
          <w:rFonts w:cstheme="minorHAnsi"/>
          <w:szCs w:val="20"/>
        </w:rPr>
        <w:t xml:space="preserve"> the installation of </w:t>
      </w:r>
      <w:r w:rsidR="002C76C3">
        <w:rPr>
          <w:rFonts w:cstheme="minorHAnsi"/>
          <w:szCs w:val="20"/>
        </w:rPr>
        <w:t xml:space="preserve">a variable speed drive </w:t>
      </w:r>
      <w:r w:rsidR="006B18EF">
        <w:rPr>
          <w:rFonts w:cstheme="minorHAnsi"/>
          <w:szCs w:val="20"/>
        </w:rPr>
        <w:t>(V</w:t>
      </w:r>
      <w:r w:rsidR="00A5765D">
        <w:rPr>
          <w:rFonts w:cstheme="minorHAnsi"/>
          <w:szCs w:val="20"/>
        </w:rPr>
        <w:t>S</w:t>
      </w:r>
      <w:r w:rsidR="006B18EF">
        <w:rPr>
          <w:rFonts w:cstheme="minorHAnsi"/>
          <w:szCs w:val="20"/>
        </w:rPr>
        <w:t xml:space="preserve">D) </w:t>
      </w:r>
      <w:r w:rsidR="002C76C3">
        <w:rPr>
          <w:rFonts w:cstheme="minorHAnsi"/>
          <w:szCs w:val="20"/>
        </w:rPr>
        <w:t>on a c</w:t>
      </w:r>
      <w:r w:rsidR="003077CB">
        <w:rPr>
          <w:rFonts w:cs="Arial"/>
          <w:szCs w:val="20"/>
        </w:rPr>
        <w:t xml:space="preserve">hilled </w:t>
      </w:r>
      <w:r w:rsidR="002C76C3">
        <w:rPr>
          <w:rFonts w:cs="Arial"/>
          <w:szCs w:val="20"/>
        </w:rPr>
        <w:t>w</w:t>
      </w:r>
      <w:r w:rsidR="003077CB">
        <w:rPr>
          <w:rFonts w:cs="Arial"/>
          <w:szCs w:val="20"/>
        </w:rPr>
        <w:t xml:space="preserve">ater </w:t>
      </w:r>
      <w:r w:rsidR="002C76C3">
        <w:rPr>
          <w:rFonts w:cs="Arial"/>
          <w:szCs w:val="20"/>
        </w:rPr>
        <w:t>p</w:t>
      </w:r>
      <w:r w:rsidR="003077CB">
        <w:rPr>
          <w:rFonts w:cs="Arial"/>
          <w:szCs w:val="20"/>
        </w:rPr>
        <w:t xml:space="preserve">ump (CHWP) </w:t>
      </w:r>
      <w:r w:rsidR="002C76C3">
        <w:rPr>
          <w:rFonts w:cs="Arial"/>
          <w:szCs w:val="20"/>
        </w:rPr>
        <w:t>or on a c</w:t>
      </w:r>
      <w:r w:rsidR="003077CB">
        <w:rPr>
          <w:rFonts w:cs="Arial"/>
          <w:szCs w:val="20"/>
        </w:rPr>
        <w:t xml:space="preserve">ondenser </w:t>
      </w:r>
      <w:r w:rsidR="002C76C3">
        <w:rPr>
          <w:rFonts w:cs="Arial"/>
          <w:szCs w:val="20"/>
        </w:rPr>
        <w:t>w</w:t>
      </w:r>
      <w:r w:rsidR="003077CB">
        <w:rPr>
          <w:rFonts w:cs="Arial"/>
          <w:szCs w:val="20"/>
        </w:rPr>
        <w:t xml:space="preserve">ater </w:t>
      </w:r>
      <w:r w:rsidR="002C76C3">
        <w:rPr>
          <w:rFonts w:cs="Arial"/>
          <w:szCs w:val="20"/>
        </w:rPr>
        <w:t>p</w:t>
      </w:r>
      <w:r w:rsidR="003077CB">
        <w:rPr>
          <w:rFonts w:cs="Arial"/>
          <w:szCs w:val="20"/>
        </w:rPr>
        <w:t xml:space="preserve">ump (CWP) </w:t>
      </w:r>
      <w:r w:rsidR="0044543F">
        <w:rPr>
          <w:rFonts w:cs="Arial"/>
          <w:szCs w:val="20"/>
        </w:rPr>
        <w:t>in a water-cooled central plant</w:t>
      </w:r>
      <w:r w:rsidR="005D52F1">
        <w:rPr>
          <w:rFonts w:cs="Arial"/>
          <w:szCs w:val="20"/>
        </w:rPr>
        <w:t xml:space="preserve"> with existing condition not provided with </w:t>
      </w:r>
      <w:r w:rsidR="00A5765D">
        <w:rPr>
          <w:rFonts w:cs="Arial"/>
          <w:szCs w:val="20"/>
        </w:rPr>
        <w:t>a VSD</w:t>
      </w:r>
      <w:r w:rsidR="005D52F1">
        <w:rPr>
          <w:rFonts w:cs="Arial"/>
          <w:szCs w:val="20"/>
        </w:rPr>
        <w:t xml:space="preserve"> and controls</w:t>
      </w:r>
      <w:r w:rsidR="0044543F">
        <w:rPr>
          <w:rFonts w:cs="Arial"/>
          <w:szCs w:val="20"/>
        </w:rPr>
        <w:t xml:space="preserve">. The measure offerings are </w:t>
      </w:r>
      <w:r w:rsidR="00980946">
        <w:rPr>
          <w:rFonts w:cs="Arial"/>
          <w:szCs w:val="20"/>
        </w:rPr>
        <w:t>available</w:t>
      </w:r>
      <w:r w:rsidR="0044543F">
        <w:rPr>
          <w:rFonts w:cs="Arial"/>
          <w:szCs w:val="20"/>
        </w:rPr>
        <w:t xml:space="preserve"> </w:t>
      </w:r>
      <w:r w:rsidR="00980946">
        <w:rPr>
          <w:rFonts w:cs="Arial"/>
          <w:szCs w:val="20"/>
        </w:rPr>
        <w:t>as</w:t>
      </w:r>
      <w:r w:rsidR="0044543F">
        <w:rPr>
          <w:rFonts w:cs="Arial"/>
          <w:szCs w:val="20"/>
        </w:rPr>
        <w:t xml:space="preserve"> </w:t>
      </w:r>
      <w:r w:rsidR="00A107E7">
        <w:rPr>
          <w:rFonts w:cs="Arial"/>
          <w:szCs w:val="20"/>
        </w:rPr>
        <w:t>add-on equipment</w:t>
      </w:r>
      <w:r w:rsidR="0044543F">
        <w:rPr>
          <w:rFonts w:cs="Arial"/>
          <w:szCs w:val="20"/>
        </w:rPr>
        <w:t xml:space="preserve"> and </w:t>
      </w:r>
      <w:r w:rsidR="00980946">
        <w:rPr>
          <w:rFonts w:cs="Arial"/>
          <w:szCs w:val="20"/>
        </w:rPr>
        <w:t xml:space="preserve">for </w:t>
      </w:r>
      <w:r w:rsidR="0044543F">
        <w:rPr>
          <w:rFonts w:cs="Arial"/>
          <w:szCs w:val="20"/>
        </w:rPr>
        <w:t xml:space="preserve">new construction application types. </w:t>
      </w:r>
    </w:p>
    <w:p w14:paraId="13CDAAC5" w14:textId="32525C4B" w:rsidR="00F3792C" w:rsidRDefault="00F3792C" w:rsidP="0038465D">
      <w:pPr>
        <w:pStyle w:val="Caption"/>
      </w:pPr>
      <w:r>
        <w:t>Measure Offerings</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133"/>
        <w:gridCol w:w="2230"/>
        <w:gridCol w:w="4987"/>
      </w:tblGrid>
      <w:tr w:rsidR="00ED17BB" w:rsidRPr="00B07D4B" w14:paraId="7B1A0A20" w14:textId="77777777" w:rsidTr="0038465D">
        <w:trPr>
          <w:cantSplit/>
          <w:trHeight w:val="20"/>
          <w:tblHeader/>
        </w:trPr>
        <w:tc>
          <w:tcPr>
            <w:tcW w:w="2133" w:type="dxa"/>
            <w:shd w:val="clear" w:color="auto" w:fill="F2F2F2" w:themeFill="background1" w:themeFillShade="F2"/>
            <w:vAlign w:val="bottom"/>
          </w:tcPr>
          <w:p w14:paraId="09E60EBE" w14:textId="1517126A" w:rsidR="00ED17BB" w:rsidRPr="00B07D4B" w:rsidRDefault="00ED17BB" w:rsidP="0038465D">
            <w:pPr>
              <w:spacing w:before="20" w:after="20"/>
              <w:jc w:val="center"/>
              <w:rPr>
                <w:b/>
                <w:sz w:val="20"/>
                <w:szCs w:val="20"/>
              </w:rPr>
            </w:pPr>
            <w:r>
              <w:rPr>
                <w:b/>
                <w:sz w:val="20"/>
                <w:szCs w:val="20"/>
              </w:rPr>
              <w:t>Statewide Measure Offering ID</w:t>
            </w:r>
          </w:p>
        </w:tc>
        <w:tc>
          <w:tcPr>
            <w:tcW w:w="2230" w:type="dxa"/>
            <w:shd w:val="clear" w:color="auto" w:fill="F2F2F2" w:themeFill="background1" w:themeFillShade="F2"/>
            <w:vAlign w:val="bottom"/>
          </w:tcPr>
          <w:p w14:paraId="36E9CD9B" w14:textId="7E792DFC" w:rsidR="00ED17BB" w:rsidRPr="00B07D4B" w:rsidRDefault="00ED17BB" w:rsidP="0038465D">
            <w:pPr>
              <w:spacing w:before="20" w:after="20"/>
              <w:jc w:val="center"/>
              <w:rPr>
                <w:b/>
                <w:sz w:val="20"/>
                <w:szCs w:val="20"/>
              </w:rPr>
            </w:pPr>
            <w:r w:rsidRPr="00B07D4B">
              <w:rPr>
                <w:b/>
                <w:sz w:val="20"/>
                <w:szCs w:val="20"/>
              </w:rPr>
              <w:t>Application Type</w:t>
            </w:r>
          </w:p>
        </w:tc>
        <w:tc>
          <w:tcPr>
            <w:tcW w:w="4987" w:type="dxa"/>
            <w:shd w:val="clear" w:color="auto" w:fill="F2F2F2" w:themeFill="background1" w:themeFillShade="F2"/>
            <w:vAlign w:val="bottom"/>
          </w:tcPr>
          <w:p w14:paraId="428172B3" w14:textId="203118FF" w:rsidR="00ED17BB" w:rsidRPr="00B07D4B" w:rsidRDefault="00ED17BB" w:rsidP="003D050D">
            <w:pPr>
              <w:spacing w:before="20" w:after="20"/>
              <w:jc w:val="center"/>
              <w:rPr>
                <w:b/>
                <w:sz w:val="20"/>
                <w:szCs w:val="20"/>
              </w:rPr>
            </w:pPr>
            <w:r w:rsidRPr="00B07D4B">
              <w:rPr>
                <w:b/>
                <w:sz w:val="20"/>
                <w:szCs w:val="20"/>
              </w:rPr>
              <w:t>Measure Offering</w:t>
            </w:r>
            <w:r w:rsidR="006B18EF">
              <w:rPr>
                <w:b/>
                <w:sz w:val="20"/>
                <w:szCs w:val="20"/>
              </w:rPr>
              <w:t xml:space="preserve"> Description</w:t>
            </w:r>
          </w:p>
        </w:tc>
      </w:tr>
      <w:tr w:rsidR="00ED17BB" w:rsidRPr="00B07D4B" w14:paraId="2FD9DB78" w14:textId="77777777" w:rsidTr="00ED17BB">
        <w:trPr>
          <w:cantSplit/>
          <w:trHeight w:val="20"/>
        </w:trPr>
        <w:tc>
          <w:tcPr>
            <w:tcW w:w="2133" w:type="dxa"/>
          </w:tcPr>
          <w:p w14:paraId="248B8612" w14:textId="1D2A5CE3" w:rsidR="00ED17BB" w:rsidRDefault="00ED17BB" w:rsidP="00A107E7">
            <w:pPr>
              <w:spacing w:before="20" w:after="20"/>
              <w:rPr>
                <w:sz w:val="20"/>
                <w:szCs w:val="20"/>
              </w:rPr>
            </w:pPr>
            <w:r>
              <w:rPr>
                <w:sz w:val="20"/>
                <w:szCs w:val="20"/>
              </w:rPr>
              <w:t>SWHC008A</w:t>
            </w:r>
          </w:p>
        </w:tc>
        <w:tc>
          <w:tcPr>
            <w:tcW w:w="2230" w:type="dxa"/>
            <w:vMerge w:val="restart"/>
            <w:shd w:val="clear" w:color="auto" w:fill="auto"/>
            <w:vAlign w:val="center"/>
          </w:tcPr>
          <w:p w14:paraId="31036A4F" w14:textId="59D03B9B" w:rsidR="00ED17BB" w:rsidRPr="00B07D4B" w:rsidRDefault="00ED17BB" w:rsidP="00A107E7">
            <w:pPr>
              <w:spacing w:before="20" w:after="20"/>
              <w:rPr>
                <w:sz w:val="20"/>
                <w:szCs w:val="20"/>
              </w:rPr>
            </w:pPr>
            <w:r>
              <w:rPr>
                <w:sz w:val="20"/>
                <w:szCs w:val="20"/>
              </w:rPr>
              <w:t>Add-on equipment</w:t>
            </w:r>
          </w:p>
        </w:tc>
        <w:tc>
          <w:tcPr>
            <w:tcW w:w="4987" w:type="dxa"/>
            <w:shd w:val="clear" w:color="auto" w:fill="auto"/>
            <w:vAlign w:val="center"/>
          </w:tcPr>
          <w:p w14:paraId="6B1215C3" w14:textId="24CC10E3" w:rsidR="00ED17BB" w:rsidRPr="00B07D4B" w:rsidRDefault="00ED17BB" w:rsidP="00A107E7">
            <w:pPr>
              <w:spacing w:before="20" w:after="20"/>
              <w:rPr>
                <w:sz w:val="20"/>
                <w:szCs w:val="20"/>
              </w:rPr>
            </w:pPr>
            <w:r w:rsidRPr="00B07D4B">
              <w:rPr>
                <w:sz w:val="20"/>
                <w:szCs w:val="20"/>
              </w:rPr>
              <w:t xml:space="preserve">Variable speed drive on chilled water pump </w:t>
            </w:r>
            <w:r w:rsidR="002D4E55">
              <w:rPr>
                <w:sz w:val="20"/>
                <w:szCs w:val="20"/>
              </w:rPr>
              <w:t>(CHWP)</w:t>
            </w:r>
          </w:p>
        </w:tc>
      </w:tr>
      <w:tr w:rsidR="00ED17BB" w:rsidRPr="00B07D4B" w14:paraId="4E0EDD73" w14:textId="77777777" w:rsidTr="00ED17BB">
        <w:trPr>
          <w:cantSplit/>
          <w:trHeight w:val="20"/>
        </w:trPr>
        <w:tc>
          <w:tcPr>
            <w:tcW w:w="2133" w:type="dxa"/>
          </w:tcPr>
          <w:p w14:paraId="6B45B571" w14:textId="027D0C1C" w:rsidR="00ED17BB" w:rsidRPr="00B07D4B" w:rsidRDefault="00ED17BB" w:rsidP="00A107E7">
            <w:pPr>
              <w:spacing w:before="20" w:after="20"/>
              <w:rPr>
                <w:sz w:val="20"/>
                <w:szCs w:val="20"/>
              </w:rPr>
            </w:pPr>
            <w:r>
              <w:rPr>
                <w:sz w:val="20"/>
                <w:szCs w:val="20"/>
              </w:rPr>
              <w:t>SWHC008B</w:t>
            </w:r>
          </w:p>
        </w:tc>
        <w:tc>
          <w:tcPr>
            <w:tcW w:w="2230" w:type="dxa"/>
            <w:vMerge/>
            <w:shd w:val="clear" w:color="auto" w:fill="auto"/>
            <w:vAlign w:val="center"/>
          </w:tcPr>
          <w:p w14:paraId="53C5475C" w14:textId="17A33570" w:rsidR="00ED17BB" w:rsidRPr="00B07D4B" w:rsidRDefault="00ED17BB" w:rsidP="00A107E7">
            <w:pPr>
              <w:spacing w:before="20" w:after="20"/>
              <w:rPr>
                <w:sz w:val="20"/>
                <w:szCs w:val="20"/>
              </w:rPr>
            </w:pPr>
          </w:p>
        </w:tc>
        <w:tc>
          <w:tcPr>
            <w:tcW w:w="4987" w:type="dxa"/>
            <w:shd w:val="clear" w:color="auto" w:fill="auto"/>
            <w:vAlign w:val="center"/>
          </w:tcPr>
          <w:p w14:paraId="524F7A2C" w14:textId="43B08A6A" w:rsidR="00ED17BB" w:rsidRPr="00B07D4B" w:rsidRDefault="00ED17BB" w:rsidP="00A107E7">
            <w:pPr>
              <w:spacing w:before="20" w:after="20"/>
              <w:rPr>
                <w:sz w:val="20"/>
                <w:szCs w:val="20"/>
              </w:rPr>
            </w:pPr>
            <w:r w:rsidRPr="00B07D4B">
              <w:rPr>
                <w:sz w:val="20"/>
                <w:szCs w:val="20"/>
              </w:rPr>
              <w:t xml:space="preserve">Variable speed drive on </w:t>
            </w:r>
            <w:r w:rsidRPr="00B07D4B">
              <w:rPr>
                <w:rFonts w:cs="Arial"/>
                <w:sz w:val="20"/>
                <w:szCs w:val="20"/>
              </w:rPr>
              <w:t xml:space="preserve">condenser water pump </w:t>
            </w:r>
            <w:r w:rsidR="002D4E55">
              <w:rPr>
                <w:rFonts w:cs="Arial"/>
                <w:sz w:val="20"/>
                <w:szCs w:val="20"/>
              </w:rPr>
              <w:t>(CWP)</w:t>
            </w:r>
          </w:p>
        </w:tc>
      </w:tr>
      <w:tr w:rsidR="00ED17BB" w:rsidRPr="00B07D4B" w14:paraId="18500C12" w14:textId="77777777" w:rsidTr="00ED17BB">
        <w:trPr>
          <w:cantSplit/>
          <w:trHeight w:val="20"/>
        </w:trPr>
        <w:tc>
          <w:tcPr>
            <w:tcW w:w="2133" w:type="dxa"/>
          </w:tcPr>
          <w:p w14:paraId="223F7A30" w14:textId="16B0073B" w:rsidR="00ED17BB" w:rsidRPr="00B07D4B" w:rsidRDefault="00ED17BB" w:rsidP="00A107E7">
            <w:pPr>
              <w:spacing w:before="20" w:after="20"/>
              <w:rPr>
                <w:sz w:val="20"/>
                <w:szCs w:val="20"/>
              </w:rPr>
            </w:pPr>
            <w:r>
              <w:rPr>
                <w:sz w:val="20"/>
                <w:szCs w:val="20"/>
              </w:rPr>
              <w:t>SWHC008C</w:t>
            </w:r>
          </w:p>
        </w:tc>
        <w:tc>
          <w:tcPr>
            <w:tcW w:w="2230" w:type="dxa"/>
            <w:shd w:val="clear" w:color="auto" w:fill="auto"/>
            <w:vAlign w:val="center"/>
          </w:tcPr>
          <w:p w14:paraId="2B525B19" w14:textId="6C4EB33F" w:rsidR="00ED17BB" w:rsidRPr="00B07D4B" w:rsidRDefault="00ED17BB" w:rsidP="00A107E7">
            <w:pPr>
              <w:spacing w:before="20" w:after="20"/>
              <w:rPr>
                <w:sz w:val="20"/>
                <w:szCs w:val="20"/>
              </w:rPr>
            </w:pPr>
            <w:r w:rsidRPr="00B07D4B">
              <w:rPr>
                <w:sz w:val="20"/>
                <w:szCs w:val="20"/>
              </w:rPr>
              <w:t xml:space="preserve">New construction </w:t>
            </w:r>
          </w:p>
        </w:tc>
        <w:tc>
          <w:tcPr>
            <w:tcW w:w="4987" w:type="dxa"/>
            <w:shd w:val="clear" w:color="auto" w:fill="auto"/>
            <w:vAlign w:val="center"/>
          </w:tcPr>
          <w:p w14:paraId="117D8B27" w14:textId="66BAD5F4" w:rsidR="00ED17BB" w:rsidRPr="00B07D4B" w:rsidRDefault="00ED17BB" w:rsidP="00A107E7">
            <w:pPr>
              <w:spacing w:before="20" w:after="20"/>
              <w:rPr>
                <w:sz w:val="20"/>
                <w:szCs w:val="20"/>
              </w:rPr>
            </w:pPr>
            <w:r w:rsidRPr="00B07D4B">
              <w:rPr>
                <w:sz w:val="20"/>
                <w:szCs w:val="20"/>
              </w:rPr>
              <w:t xml:space="preserve">Variable speed drive on </w:t>
            </w:r>
            <w:r w:rsidRPr="00B07D4B">
              <w:rPr>
                <w:rFonts w:cs="Arial"/>
                <w:sz w:val="20"/>
                <w:szCs w:val="20"/>
              </w:rPr>
              <w:t xml:space="preserve">condenser water pump </w:t>
            </w:r>
            <w:r w:rsidR="002D4E55">
              <w:rPr>
                <w:rFonts w:cs="Arial"/>
                <w:sz w:val="20"/>
                <w:szCs w:val="20"/>
              </w:rPr>
              <w:t>(CWP)</w:t>
            </w:r>
          </w:p>
        </w:tc>
      </w:tr>
    </w:tbl>
    <w:p w14:paraId="15163014" w14:textId="0DB692F1" w:rsidR="001501B3" w:rsidRDefault="001501B3" w:rsidP="003077CB">
      <w:pPr>
        <w:rPr>
          <w:rFonts w:cs="Arial"/>
          <w:szCs w:val="20"/>
        </w:rPr>
      </w:pPr>
    </w:p>
    <w:p w14:paraId="41759787" w14:textId="77777777" w:rsidR="003077CB" w:rsidRPr="00920905" w:rsidRDefault="003077CB" w:rsidP="003077CB">
      <w:pPr>
        <w:rPr>
          <w:b/>
          <w:szCs w:val="22"/>
        </w:rPr>
      </w:pPr>
      <w:r w:rsidRPr="00920905">
        <w:rPr>
          <w:b/>
          <w:szCs w:val="22"/>
        </w:rPr>
        <w:t>Base, Standard, and Measure Cases</w:t>
      </w:r>
    </w:p>
    <w:tbl>
      <w:tblPr>
        <w:tblStyle w:val="TableGrid1"/>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809"/>
        <w:gridCol w:w="6541"/>
      </w:tblGrid>
      <w:tr w:rsidR="003077CB" w:rsidRPr="00800706" w14:paraId="1EB7681C" w14:textId="77777777" w:rsidTr="00A107E7">
        <w:trPr>
          <w:trHeight w:val="20"/>
          <w:tblHeader/>
        </w:trPr>
        <w:tc>
          <w:tcPr>
            <w:tcW w:w="1502" w:type="pct"/>
            <w:shd w:val="clear" w:color="auto" w:fill="F2F2F2" w:themeFill="background1" w:themeFillShade="F2"/>
          </w:tcPr>
          <w:p w14:paraId="5742DD86" w14:textId="77777777" w:rsidR="003077CB" w:rsidRPr="0044543F" w:rsidRDefault="003077CB" w:rsidP="0044543F">
            <w:pPr>
              <w:pStyle w:val="Reminders"/>
              <w:tabs>
                <w:tab w:val="num" w:pos="360"/>
              </w:tabs>
              <w:spacing w:before="0" w:after="0"/>
              <w:rPr>
                <w:rFonts w:ascii="Calibri Light" w:hAnsi="Calibri Light" w:cs="Calibri Light"/>
                <w:b/>
                <w:i w:val="0"/>
                <w:color w:val="auto"/>
                <w:sz w:val="20"/>
              </w:rPr>
            </w:pPr>
            <w:r w:rsidRPr="0044543F">
              <w:rPr>
                <w:rFonts w:ascii="Calibri Light" w:hAnsi="Calibri Light" w:cs="Calibri Light"/>
                <w:b/>
                <w:i w:val="0"/>
                <w:color w:val="auto"/>
                <w:sz w:val="20"/>
              </w:rPr>
              <w:t>Case</w:t>
            </w:r>
          </w:p>
        </w:tc>
        <w:tc>
          <w:tcPr>
            <w:tcW w:w="3498" w:type="pct"/>
            <w:shd w:val="clear" w:color="auto" w:fill="F2F2F2" w:themeFill="background1" w:themeFillShade="F2"/>
          </w:tcPr>
          <w:p w14:paraId="3B394275" w14:textId="77777777" w:rsidR="003077CB" w:rsidRPr="0044543F" w:rsidRDefault="003077CB" w:rsidP="0044543F">
            <w:pPr>
              <w:pStyle w:val="Reminders"/>
              <w:tabs>
                <w:tab w:val="num" w:pos="360"/>
              </w:tabs>
              <w:spacing w:before="0" w:after="0"/>
              <w:rPr>
                <w:rFonts w:ascii="Calibri Light" w:hAnsi="Calibri Light" w:cs="Calibri Light"/>
                <w:b/>
                <w:i w:val="0"/>
                <w:color w:val="auto"/>
                <w:sz w:val="20"/>
              </w:rPr>
            </w:pPr>
            <w:r w:rsidRPr="0044543F">
              <w:rPr>
                <w:rFonts w:ascii="Calibri Light" w:hAnsi="Calibri Light" w:cs="Calibri Light"/>
                <w:b/>
                <w:i w:val="0"/>
                <w:color w:val="auto"/>
                <w:sz w:val="20"/>
              </w:rPr>
              <w:t>Description of Typical Scenario</w:t>
            </w:r>
          </w:p>
        </w:tc>
      </w:tr>
      <w:tr w:rsidR="003077CB" w:rsidRPr="00800706" w14:paraId="01D7EF38" w14:textId="77777777" w:rsidTr="00B07D4B">
        <w:trPr>
          <w:trHeight w:val="20"/>
        </w:trPr>
        <w:tc>
          <w:tcPr>
            <w:tcW w:w="1502" w:type="pct"/>
          </w:tcPr>
          <w:p w14:paraId="7D21B955" w14:textId="77777777" w:rsidR="003077CB" w:rsidRPr="0044543F" w:rsidRDefault="003077CB" w:rsidP="0044543F">
            <w:pPr>
              <w:pStyle w:val="Reminders"/>
              <w:tabs>
                <w:tab w:val="num" w:pos="360"/>
              </w:tabs>
              <w:spacing w:before="0" w:after="0"/>
              <w:rPr>
                <w:rFonts w:ascii="Calibri Light" w:hAnsi="Calibri Light" w:cs="Calibri Light"/>
                <w:i w:val="0"/>
                <w:color w:val="auto"/>
                <w:sz w:val="20"/>
                <w:szCs w:val="22"/>
              </w:rPr>
            </w:pPr>
            <w:r w:rsidRPr="0044543F">
              <w:rPr>
                <w:rFonts w:ascii="Calibri Light" w:hAnsi="Calibri Light" w:cs="Calibri Light"/>
                <w:i w:val="0"/>
                <w:color w:val="auto"/>
                <w:sz w:val="20"/>
              </w:rPr>
              <w:t>Measure</w:t>
            </w:r>
          </w:p>
        </w:tc>
        <w:tc>
          <w:tcPr>
            <w:tcW w:w="3498" w:type="pct"/>
          </w:tcPr>
          <w:p w14:paraId="11CFF6CE" w14:textId="77777777" w:rsidR="003077CB" w:rsidRPr="0044543F" w:rsidRDefault="003077CB" w:rsidP="0044543F">
            <w:pPr>
              <w:spacing w:before="0" w:after="0" w:line="240" w:lineRule="auto"/>
              <w:rPr>
                <w:rFonts w:cs="Calibri Light"/>
                <w:sz w:val="20"/>
              </w:rPr>
            </w:pPr>
            <w:r w:rsidRPr="0044543F">
              <w:rPr>
                <w:rFonts w:cs="Calibri Light"/>
                <w:sz w:val="20"/>
              </w:rPr>
              <w:t xml:space="preserve">Variable Speed Drive on Chilled Water Pump (CHWP) </w:t>
            </w:r>
          </w:p>
          <w:p w14:paraId="723BF94D" w14:textId="77777777" w:rsidR="003077CB" w:rsidRPr="0044543F" w:rsidRDefault="003077CB" w:rsidP="0044543F">
            <w:pPr>
              <w:spacing w:before="0" w:after="0" w:line="240" w:lineRule="auto"/>
              <w:rPr>
                <w:rFonts w:cs="Calibri Light"/>
                <w:sz w:val="20"/>
              </w:rPr>
            </w:pPr>
            <w:r w:rsidRPr="0044543F">
              <w:rPr>
                <w:rFonts w:cs="Calibri Light"/>
                <w:sz w:val="20"/>
              </w:rPr>
              <w:t xml:space="preserve">Variable Speed Drive on Condenser Water Pump (CWP) </w:t>
            </w:r>
          </w:p>
        </w:tc>
      </w:tr>
      <w:tr w:rsidR="003077CB" w:rsidRPr="00800706" w14:paraId="1DEB3DC4" w14:textId="77777777" w:rsidTr="00B07D4B">
        <w:trPr>
          <w:trHeight w:val="20"/>
        </w:trPr>
        <w:tc>
          <w:tcPr>
            <w:tcW w:w="1502" w:type="pct"/>
          </w:tcPr>
          <w:p w14:paraId="5400EEB7" w14:textId="77777777" w:rsidR="003077CB" w:rsidRPr="0044543F" w:rsidRDefault="003077CB" w:rsidP="0044543F">
            <w:pPr>
              <w:pStyle w:val="Reminders"/>
              <w:tabs>
                <w:tab w:val="num" w:pos="360"/>
              </w:tabs>
              <w:spacing w:before="0" w:after="0"/>
              <w:rPr>
                <w:rFonts w:ascii="Calibri Light" w:hAnsi="Calibri Light" w:cs="Calibri Light"/>
                <w:i w:val="0"/>
                <w:color w:val="auto"/>
                <w:sz w:val="20"/>
                <w:szCs w:val="22"/>
              </w:rPr>
            </w:pPr>
            <w:r w:rsidRPr="0044543F">
              <w:rPr>
                <w:rFonts w:ascii="Calibri Light" w:hAnsi="Calibri Light" w:cs="Calibri Light"/>
                <w:i w:val="0"/>
                <w:color w:val="auto"/>
                <w:sz w:val="20"/>
              </w:rPr>
              <w:t>Existing Condition</w:t>
            </w:r>
          </w:p>
        </w:tc>
        <w:tc>
          <w:tcPr>
            <w:tcW w:w="3498" w:type="pct"/>
          </w:tcPr>
          <w:p w14:paraId="1FAF0A1C" w14:textId="77777777" w:rsidR="00B038F8" w:rsidRDefault="003077CB" w:rsidP="0044543F">
            <w:pPr>
              <w:spacing w:before="0" w:after="0" w:line="240" w:lineRule="auto"/>
              <w:rPr>
                <w:rFonts w:cs="Calibri Light"/>
                <w:sz w:val="20"/>
              </w:rPr>
            </w:pPr>
            <w:r w:rsidRPr="0044543F">
              <w:rPr>
                <w:rFonts w:cs="Calibri Light"/>
                <w:sz w:val="20"/>
              </w:rPr>
              <w:t xml:space="preserve">CHWP Control – </w:t>
            </w:r>
            <w:r w:rsidR="00B038F8" w:rsidRPr="0044543F">
              <w:rPr>
                <w:rFonts w:cs="Calibri Light"/>
                <w:sz w:val="20"/>
              </w:rPr>
              <w:t xml:space="preserve">Single speed for </w:t>
            </w:r>
            <w:r w:rsidR="00B038F8">
              <w:rPr>
                <w:rFonts w:cs="Calibri Light"/>
                <w:sz w:val="20"/>
              </w:rPr>
              <w:t>add-on equipment</w:t>
            </w:r>
            <w:r w:rsidR="00B038F8" w:rsidRPr="0044543F">
              <w:rPr>
                <w:rFonts w:cs="Calibri Light"/>
                <w:sz w:val="20"/>
              </w:rPr>
              <w:t xml:space="preserve"> </w:t>
            </w:r>
          </w:p>
          <w:p w14:paraId="43AEA48B" w14:textId="2F59B630" w:rsidR="003077CB" w:rsidRPr="0044543F" w:rsidRDefault="003077CB" w:rsidP="0044543F">
            <w:pPr>
              <w:spacing w:before="0" w:after="0" w:line="240" w:lineRule="auto"/>
              <w:rPr>
                <w:rFonts w:cs="Calibri Light"/>
                <w:i/>
                <w:sz w:val="20"/>
              </w:rPr>
            </w:pPr>
            <w:r w:rsidRPr="0044543F">
              <w:rPr>
                <w:rFonts w:cs="Calibri Light"/>
                <w:sz w:val="20"/>
              </w:rPr>
              <w:t xml:space="preserve">CWP Control – Single speed for </w:t>
            </w:r>
            <w:r w:rsidR="00980946">
              <w:rPr>
                <w:rFonts w:cs="Calibri Light"/>
                <w:sz w:val="20"/>
              </w:rPr>
              <w:t>add-on equipment</w:t>
            </w:r>
            <w:r w:rsidRPr="0044543F">
              <w:rPr>
                <w:rFonts w:cs="Calibri Light"/>
                <w:sz w:val="20"/>
              </w:rPr>
              <w:t xml:space="preserve"> and </w:t>
            </w:r>
            <w:r w:rsidR="00980946">
              <w:rPr>
                <w:rFonts w:cs="Calibri Light"/>
                <w:sz w:val="20"/>
              </w:rPr>
              <w:t>new construction</w:t>
            </w:r>
            <w:r w:rsidRPr="0044543F">
              <w:rPr>
                <w:rFonts w:cs="Calibri Light"/>
                <w:sz w:val="20"/>
              </w:rPr>
              <w:t xml:space="preserve"> </w:t>
            </w:r>
          </w:p>
        </w:tc>
      </w:tr>
      <w:tr w:rsidR="003077CB" w:rsidRPr="00800706" w14:paraId="686E9938" w14:textId="77777777" w:rsidTr="00B07D4B">
        <w:trPr>
          <w:trHeight w:val="20"/>
        </w:trPr>
        <w:tc>
          <w:tcPr>
            <w:tcW w:w="1502" w:type="pct"/>
          </w:tcPr>
          <w:p w14:paraId="64AD56CD" w14:textId="77777777" w:rsidR="003077CB" w:rsidRPr="0044543F" w:rsidRDefault="003077CB" w:rsidP="0044543F">
            <w:pPr>
              <w:pStyle w:val="Reminders"/>
              <w:tabs>
                <w:tab w:val="num" w:pos="360"/>
              </w:tabs>
              <w:spacing w:before="0" w:after="0"/>
              <w:rPr>
                <w:rFonts w:ascii="Calibri Light" w:hAnsi="Calibri Light" w:cs="Calibri Light"/>
                <w:i w:val="0"/>
                <w:color w:val="auto"/>
                <w:sz w:val="20"/>
              </w:rPr>
            </w:pPr>
            <w:r w:rsidRPr="0044543F">
              <w:rPr>
                <w:rFonts w:ascii="Calibri Light" w:hAnsi="Calibri Light" w:cs="Calibri Light"/>
                <w:i w:val="0"/>
                <w:color w:val="auto"/>
                <w:sz w:val="20"/>
              </w:rPr>
              <w:lastRenderedPageBreak/>
              <w:t>Code/Standard</w:t>
            </w:r>
          </w:p>
        </w:tc>
        <w:tc>
          <w:tcPr>
            <w:tcW w:w="3498" w:type="pct"/>
          </w:tcPr>
          <w:p w14:paraId="55C4FC4A" w14:textId="6C417401" w:rsidR="00173CED" w:rsidRPr="0044543F" w:rsidRDefault="00E44866" w:rsidP="00173CED">
            <w:pPr>
              <w:spacing w:before="0" w:after="0" w:line="240" w:lineRule="auto"/>
              <w:rPr>
                <w:rFonts w:cs="Calibri Light"/>
                <w:sz w:val="20"/>
              </w:rPr>
            </w:pPr>
            <w:r>
              <w:rPr>
                <w:rFonts w:cs="Calibri Light"/>
                <w:sz w:val="20"/>
              </w:rPr>
              <w:t>CHWP</w:t>
            </w:r>
            <w:r w:rsidR="003077CB" w:rsidRPr="0044543F">
              <w:rPr>
                <w:rFonts w:cs="Calibri Light"/>
                <w:sz w:val="20"/>
              </w:rPr>
              <w:t xml:space="preserve"> Control – </w:t>
            </w:r>
            <w:r w:rsidR="00173CED" w:rsidRPr="0044543F">
              <w:rPr>
                <w:rFonts w:cs="Calibri Light"/>
                <w:sz w:val="20"/>
              </w:rPr>
              <w:t>Single speed</w:t>
            </w:r>
            <w:r w:rsidR="00173CED">
              <w:rPr>
                <w:rFonts w:cs="Calibri Light"/>
                <w:sz w:val="20"/>
              </w:rPr>
              <w:t xml:space="preserve"> or variable speed based on the vintage and building type</w:t>
            </w:r>
            <w:r w:rsidR="00173CED" w:rsidRPr="0044543F">
              <w:rPr>
                <w:rFonts w:cs="Calibri Light"/>
                <w:sz w:val="20"/>
              </w:rPr>
              <w:t xml:space="preserve"> </w:t>
            </w:r>
          </w:p>
          <w:p w14:paraId="00F59555" w14:textId="2E87F9A0" w:rsidR="003077CB" w:rsidRPr="0044543F" w:rsidRDefault="003077CB" w:rsidP="0044543F">
            <w:pPr>
              <w:spacing w:before="0" w:after="0" w:line="240" w:lineRule="auto"/>
              <w:rPr>
                <w:rFonts w:cs="Calibri Light"/>
                <w:color w:val="FF0000"/>
                <w:sz w:val="20"/>
              </w:rPr>
            </w:pPr>
            <w:r w:rsidRPr="0044543F">
              <w:rPr>
                <w:rFonts w:cs="Calibri Light"/>
                <w:sz w:val="20"/>
              </w:rPr>
              <w:t>CW</w:t>
            </w:r>
            <w:r w:rsidR="00E44866">
              <w:rPr>
                <w:rFonts w:cs="Calibri Light"/>
                <w:sz w:val="20"/>
              </w:rPr>
              <w:t>P</w:t>
            </w:r>
            <w:r w:rsidRPr="0044543F">
              <w:rPr>
                <w:rFonts w:cs="Calibri Light"/>
                <w:sz w:val="20"/>
              </w:rPr>
              <w:t xml:space="preserve"> Control – </w:t>
            </w:r>
            <w:r w:rsidR="00980946" w:rsidRPr="0044543F">
              <w:rPr>
                <w:rFonts w:cs="Calibri Light"/>
                <w:sz w:val="20"/>
              </w:rPr>
              <w:t xml:space="preserve">Single speed for </w:t>
            </w:r>
            <w:r w:rsidR="00980946">
              <w:rPr>
                <w:rFonts w:cs="Calibri Light"/>
                <w:sz w:val="20"/>
              </w:rPr>
              <w:t>add-on equipment</w:t>
            </w:r>
            <w:r w:rsidR="00980946" w:rsidRPr="0044543F">
              <w:rPr>
                <w:rFonts w:cs="Calibri Light"/>
                <w:sz w:val="20"/>
              </w:rPr>
              <w:t xml:space="preserve"> and </w:t>
            </w:r>
            <w:r w:rsidR="00980946">
              <w:rPr>
                <w:rFonts w:cs="Calibri Light"/>
                <w:sz w:val="20"/>
              </w:rPr>
              <w:t>new construction</w:t>
            </w:r>
          </w:p>
        </w:tc>
      </w:tr>
      <w:tr w:rsidR="003077CB" w:rsidRPr="00800706" w14:paraId="2FEADBF5" w14:textId="77777777" w:rsidTr="00B07D4B">
        <w:trPr>
          <w:trHeight w:val="20"/>
        </w:trPr>
        <w:tc>
          <w:tcPr>
            <w:tcW w:w="1502" w:type="pct"/>
          </w:tcPr>
          <w:p w14:paraId="75F8F426" w14:textId="0EB5189D" w:rsidR="003077CB" w:rsidRPr="0044543F" w:rsidRDefault="003077CB" w:rsidP="0044543F">
            <w:pPr>
              <w:pStyle w:val="Reminders"/>
              <w:tabs>
                <w:tab w:val="num" w:pos="360"/>
              </w:tabs>
              <w:spacing w:before="0" w:after="0"/>
              <w:rPr>
                <w:rFonts w:ascii="Calibri Light" w:hAnsi="Calibri Light" w:cs="Calibri Light"/>
                <w:i w:val="0"/>
                <w:color w:val="auto"/>
                <w:sz w:val="20"/>
                <w:szCs w:val="22"/>
              </w:rPr>
            </w:pPr>
            <w:r w:rsidRPr="0044543F">
              <w:rPr>
                <w:rFonts w:ascii="Calibri Light" w:hAnsi="Calibri Light" w:cs="Calibri Light"/>
                <w:i w:val="0"/>
                <w:color w:val="auto"/>
                <w:sz w:val="20"/>
              </w:rPr>
              <w:t>Industry Standard Practice</w:t>
            </w:r>
            <w:r w:rsidR="00E44866">
              <w:rPr>
                <w:rFonts w:ascii="Calibri Light" w:hAnsi="Calibri Light" w:cs="Calibri Light"/>
                <w:i w:val="0"/>
                <w:color w:val="auto"/>
                <w:sz w:val="20"/>
              </w:rPr>
              <w:t xml:space="preserve"> (ISP)</w:t>
            </w:r>
          </w:p>
        </w:tc>
        <w:tc>
          <w:tcPr>
            <w:tcW w:w="3498" w:type="pct"/>
          </w:tcPr>
          <w:p w14:paraId="6ABB564E" w14:textId="67DED77D" w:rsidR="003077CB" w:rsidRPr="0044543F" w:rsidRDefault="003077CB" w:rsidP="0044543F">
            <w:pPr>
              <w:spacing w:before="0" w:after="0" w:line="240" w:lineRule="auto"/>
              <w:rPr>
                <w:rFonts w:cs="Calibri Light"/>
                <w:i/>
                <w:sz w:val="20"/>
              </w:rPr>
            </w:pPr>
            <w:r w:rsidRPr="0044543F">
              <w:rPr>
                <w:rFonts w:cs="Calibri Light"/>
                <w:sz w:val="20"/>
              </w:rPr>
              <w:t xml:space="preserve">No explicit </w:t>
            </w:r>
            <w:r w:rsidR="00980946">
              <w:rPr>
                <w:rFonts w:cs="Calibri Light"/>
                <w:sz w:val="20"/>
              </w:rPr>
              <w:t>industry standard practice (ISP)</w:t>
            </w:r>
            <w:r w:rsidRPr="0044543F">
              <w:rPr>
                <w:rFonts w:cs="Calibri Light"/>
                <w:sz w:val="20"/>
              </w:rPr>
              <w:t xml:space="preserve"> study exist</w:t>
            </w:r>
            <w:r w:rsidR="00E44866">
              <w:rPr>
                <w:rFonts w:cs="Calibri Light"/>
                <w:sz w:val="20"/>
              </w:rPr>
              <w:t>s</w:t>
            </w:r>
            <w:r w:rsidRPr="0044543F">
              <w:rPr>
                <w:rFonts w:cs="Calibri Light"/>
                <w:sz w:val="20"/>
              </w:rPr>
              <w:t xml:space="preserve"> but </w:t>
            </w:r>
            <w:r w:rsidR="0044543F">
              <w:rPr>
                <w:rFonts w:cs="Calibri Light"/>
                <w:sz w:val="20"/>
              </w:rPr>
              <w:t>this</w:t>
            </w:r>
            <w:r w:rsidRPr="0044543F">
              <w:rPr>
                <w:rFonts w:cs="Calibri Light"/>
                <w:sz w:val="20"/>
              </w:rPr>
              <w:t xml:space="preserve"> equipment </w:t>
            </w:r>
            <w:r w:rsidR="0044543F">
              <w:rPr>
                <w:rFonts w:cs="Calibri Light"/>
                <w:sz w:val="20"/>
              </w:rPr>
              <w:t>is</w:t>
            </w:r>
            <w:r w:rsidRPr="0044543F">
              <w:rPr>
                <w:rFonts w:cs="Calibri Light"/>
                <w:sz w:val="20"/>
              </w:rPr>
              <w:t xml:space="preserve"> </w:t>
            </w:r>
            <w:r w:rsidR="0044543F">
              <w:rPr>
                <w:rFonts w:cs="Calibri Light"/>
                <w:sz w:val="20"/>
              </w:rPr>
              <w:t>addressed</w:t>
            </w:r>
            <w:r w:rsidRPr="0044543F">
              <w:rPr>
                <w:rFonts w:cs="Calibri Light"/>
                <w:sz w:val="20"/>
              </w:rPr>
              <w:t xml:space="preserve"> in </w:t>
            </w:r>
            <w:r w:rsidR="007A3FB6" w:rsidRPr="007A3FB6">
              <w:rPr>
                <w:rFonts w:cs="Calibri Light"/>
                <w:sz w:val="20"/>
              </w:rPr>
              <w:t>2019 California Building Energy Efficiency Standards (Title 24)</w:t>
            </w:r>
            <w:r w:rsidR="007A3FB6" w:rsidRPr="007A3FB6">
              <w:rPr>
                <w:rFonts w:cs="Calibri Light"/>
                <w:sz w:val="20"/>
                <w:vertAlign w:val="superscript"/>
              </w:rPr>
              <w:footnoteReference w:id="1"/>
            </w:r>
            <w:r w:rsidR="000C4844">
              <w:rPr>
                <w:rFonts w:cs="Calibri Light"/>
                <w:sz w:val="20"/>
              </w:rPr>
              <w:t xml:space="preserve"> as discussed in the Code Requirements section below. </w:t>
            </w:r>
          </w:p>
        </w:tc>
      </w:tr>
    </w:tbl>
    <w:p w14:paraId="487ABE60" w14:textId="77777777" w:rsidR="003077CB" w:rsidRPr="0001609E" w:rsidRDefault="003077CB" w:rsidP="003077CB"/>
    <w:p w14:paraId="54FD79D6" w14:textId="77777777" w:rsidR="00E70CBD" w:rsidRPr="0001609E" w:rsidRDefault="00E70CBD" w:rsidP="0016415E">
      <w:pPr>
        <w:pStyle w:val="eTRMHeading3"/>
      </w:pPr>
      <w:bookmarkStart w:id="13" w:name="_Toc486490849"/>
      <w:bookmarkStart w:id="14" w:name="_Toc486580920"/>
      <w:bookmarkStart w:id="15" w:name="_Toc12448778"/>
      <w:r w:rsidRPr="0001609E">
        <w:t>Base Case Description</w:t>
      </w:r>
      <w:bookmarkEnd w:id="13"/>
      <w:bookmarkEnd w:id="14"/>
      <w:bookmarkEnd w:id="15"/>
      <w:r w:rsidRPr="0001609E">
        <w:t xml:space="preserve"> </w:t>
      </w:r>
    </w:p>
    <w:p w14:paraId="5A53B270" w14:textId="22D05313" w:rsidR="004D4E3F" w:rsidRPr="0044543F" w:rsidRDefault="001501B3" w:rsidP="004D4E3F">
      <w:r w:rsidRPr="00C9082E">
        <w:rPr>
          <w:rFonts w:cstheme="minorHAnsi"/>
          <w:szCs w:val="20"/>
        </w:rPr>
        <w:t xml:space="preserve">The base case is </w:t>
      </w:r>
      <w:r w:rsidR="008659C5">
        <w:rPr>
          <w:rFonts w:cstheme="minorHAnsi"/>
          <w:szCs w:val="20"/>
        </w:rPr>
        <w:t>defined as</w:t>
      </w:r>
      <w:r w:rsidR="004D4E3F">
        <w:rPr>
          <w:rFonts w:cstheme="minorHAnsi"/>
          <w:szCs w:val="20"/>
        </w:rPr>
        <w:t xml:space="preserve"> the e</w:t>
      </w:r>
      <w:r w:rsidR="004D4E3F" w:rsidRPr="0044543F">
        <w:t xml:space="preserve">xisting </w:t>
      </w:r>
      <w:r w:rsidR="004D4E3F">
        <w:t>c</w:t>
      </w:r>
      <w:r w:rsidR="004D4E3F" w:rsidRPr="0044543F">
        <w:t xml:space="preserve">ustomer </w:t>
      </w:r>
      <w:r w:rsidR="004D4E3F">
        <w:t>e</w:t>
      </w:r>
      <w:r w:rsidR="004D4E3F" w:rsidRPr="0044543F">
        <w:t xml:space="preserve">quipment or applicable </w:t>
      </w:r>
      <w:r w:rsidR="005E4DF7">
        <w:t>California Building Energy Efficiency Standards (</w:t>
      </w:r>
      <w:r w:rsidR="004D4E3F" w:rsidRPr="0044543F">
        <w:t>Title</w:t>
      </w:r>
      <w:r w:rsidR="004D4E3F">
        <w:t xml:space="preserve"> </w:t>
      </w:r>
      <w:r w:rsidR="004D4E3F" w:rsidRPr="0044543F">
        <w:t>24</w:t>
      </w:r>
      <w:r w:rsidR="005E4DF7">
        <w:t>)</w:t>
      </w:r>
      <w:r w:rsidR="004D4E3F" w:rsidRPr="0044543F">
        <w:t xml:space="preserve"> based on </w:t>
      </w:r>
      <w:r w:rsidR="00980946">
        <w:t xml:space="preserve">building </w:t>
      </w:r>
      <w:r w:rsidR="004D4E3F" w:rsidRPr="0044543F">
        <w:t>vintage</w:t>
      </w:r>
      <w:r w:rsidR="004D4E3F">
        <w:t>. The analysis of this measure assume</w:t>
      </w:r>
      <w:r w:rsidR="005E4DF7">
        <w:t>d</w:t>
      </w:r>
      <w:r w:rsidR="004D4E3F">
        <w:t xml:space="preserve"> single</w:t>
      </w:r>
      <w:r w:rsidR="00A856A9">
        <w:t>-</w:t>
      </w:r>
      <w:r w:rsidR="004D4E3F">
        <w:t xml:space="preserve">speed pumps as the base case for both </w:t>
      </w:r>
      <w:r w:rsidR="00A856A9">
        <w:rPr>
          <w:rFonts w:cstheme="minorHAnsi"/>
          <w:szCs w:val="20"/>
        </w:rPr>
        <w:t>c</w:t>
      </w:r>
      <w:r w:rsidR="00A856A9">
        <w:rPr>
          <w:rFonts w:cs="Arial"/>
          <w:szCs w:val="20"/>
        </w:rPr>
        <w:t xml:space="preserve">hilled water pump (CHWP) and a condenser water pump (CWP) </w:t>
      </w:r>
      <w:r w:rsidR="004D4E3F">
        <w:t>control measure offerings.</w:t>
      </w:r>
    </w:p>
    <w:p w14:paraId="5DE1D392" w14:textId="28043EBA" w:rsidR="003077CB" w:rsidRDefault="003077CB" w:rsidP="00853C10">
      <w:r w:rsidRPr="00A107E7">
        <w:t>D</w:t>
      </w:r>
      <w:r w:rsidR="00A107E7" w:rsidRPr="00A107E7">
        <w:t xml:space="preserve">ecision </w:t>
      </w:r>
      <w:r w:rsidRPr="00A107E7">
        <w:t>16-08-019</w:t>
      </w:r>
      <w:r w:rsidR="00A107E7" w:rsidRPr="00A107E7">
        <w:rPr>
          <w:rStyle w:val="FootnoteReference"/>
        </w:rPr>
        <w:footnoteReference w:id="2"/>
      </w:r>
      <w:r w:rsidR="00A107E7">
        <w:t xml:space="preserve"> by the California Public Utilities Commission (CPUC)</w:t>
      </w:r>
      <w:r w:rsidRPr="00557ED6">
        <w:t xml:space="preserve"> formally adopted a policy of existing conditions as the basis for estimating ex-ante savings of dee</w:t>
      </w:r>
      <w:r>
        <w:t xml:space="preserve">med energy efficiency measures. </w:t>
      </w:r>
      <w:r w:rsidRPr="00A107E7">
        <w:t>Resolution E-4818</w:t>
      </w:r>
      <w:r w:rsidR="00A107E7" w:rsidRPr="00A107E7">
        <w:rPr>
          <w:rStyle w:val="FootnoteReference"/>
        </w:rPr>
        <w:footnoteReference w:id="3"/>
      </w:r>
      <w:r w:rsidRPr="00A107E7">
        <w:t xml:space="preserve"> was approved</w:t>
      </w:r>
      <w:r w:rsidRPr="00557ED6">
        <w:t xml:space="preserve"> by the </w:t>
      </w:r>
      <w:r w:rsidR="004D4E3F">
        <w:t>CPUC</w:t>
      </w:r>
      <w:r w:rsidRPr="00557ED6">
        <w:t xml:space="preserve"> on March 2, 2017 and directed Commission staff to update </w:t>
      </w:r>
      <w:r w:rsidR="004D4E3F">
        <w:t>the Database of Energy Efficient Resources (</w:t>
      </w:r>
      <w:r w:rsidRPr="00557ED6">
        <w:t>DEER</w:t>
      </w:r>
      <w:r w:rsidR="004D4E3F">
        <w:t>)</w:t>
      </w:r>
      <w:r w:rsidRPr="00557ED6">
        <w:t xml:space="preserve"> to reflect revised baseline policies</w:t>
      </w:r>
      <w:r>
        <w:t>.</w:t>
      </w:r>
    </w:p>
    <w:p w14:paraId="7A838626" w14:textId="79683B03" w:rsidR="003077CB" w:rsidRDefault="004D4E3F" w:rsidP="003077CB">
      <w:r>
        <w:t>The</w:t>
      </w:r>
      <w:r w:rsidR="003077CB">
        <w:t xml:space="preserve"> existing baseline conditions </w:t>
      </w:r>
      <w:r>
        <w:t xml:space="preserve">for this measure </w:t>
      </w:r>
      <w:r w:rsidR="003077CB">
        <w:t>were evaluated using the measure</w:t>
      </w:r>
      <w:r>
        <w:t xml:space="preserve"> </w:t>
      </w:r>
      <w:r w:rsidR="00B07D4B">
        <w:t>expected</w:t>
      </w:r>
      <w:r>
        <w:t xml:space="preserve"> useful life (EUL)</w:t>
      </w:r>
      <w:r w:rsidR="003077CB">
        <w:t xml:space="preserve"> </w:t>
      </w:r>
      <w:r>
        <w:t>relative</w:t>
      </w:r>
      <w:r w:rsidR="003077CB">
        <w:t xml:space="preserve"> to the </w:t>
      </w:r>
      <w:r w:rsidR="00853C10">
        <w:t xml:space="preserve">Title 24 </w:t>
      </w:r>
      <w:r w:rsidR="003077CB" w:rsidRPr="006460F5">
        <w:t>code</w:t>
      </w:r>
      <w:r w:rsidR="00036C3F">
        <w:t xml:space="preserve"> </w:t>
      </w:r>
      <w:r w:rsidR="005E4DF7">
        <w:t xml:space="preserve">update </w:t>
      </w:r>
      <w:r w:rsidR="00036C3F">
        <w:t xml:space="preserve">cycles </w:t>
      </w:r>
      <w:r w:rsidR="00F15FF7">
        <w:t>in which the measures have been required</w:t>
      </w:r>
      <w:r w:rsidR="003077CB" w:rsidRPr="006460F5">
        <w:t>.</w:t>
      </w:r>
      <w:r w:rsidR="003077CB">
        <w:t xml:space="preserve">  </w:t>
      </w:r>
    </w:p>
    <w:p w14:paraId="666D498D" w14:textId="77777777" w:rsidR="00853C10" w:rsidRDefault="00853C10" w:rsidP="003077CB"/>
    <w:tbl>
      <w:tblPr>
        <w:tblStyle w:val="TableGrid"/>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415"/>
        <w:gridCol w:w="6120"/>
      </w:tblGrid>
      <w:tr w:rsidR="00D54E82" w:rsidRPr="005E4DF7" w14:paraId="157ABA85" w14:textId="77777777" w:rsidTr="0038465D">
        <w:trPr>
          <w:tblHeader/>
        </w:trPr>
        <w:tc>
          <w:tcPr>
            <w:tcW w:w="3415" w:type="dxa"/>
            <w:shd w:val="clear" w:color="auto" w:fill="F2F2F2" w:themeFill="background1" w:themeFillShade="F2"/>
            <w:vAlign w:val="center"/>
          </w:tcPr>
          <w:p w14:paraId="4B7E43BE" w14:textId="3B6E8A2A" w:rsidR="00D54E82" w:rsidRPr="005E4DF7" w:rsidRDefault="00D54E82" w:rsidP="005E4DF7">
            <w:pPr>
              <w:spacing w:before="20" w:after="20"/>
              <w:rPr>
                <w:b/>
                <w:bCs/>
                <w:sz w:val="20"/>
                <w:szCs w:val="20"/>
              </w:rPr>
            </w:pPr>
            <w:r w:rsidRPr="005E4DF7">
              <w:rPr>
                <w:b/>
                <w:bCs/>
                <w:sz w:val="20"/>
                <w:szCs w:val="20"/>
              </w:rPr>
              <w:t>Measure Offering</w:t>
            </w:r>
          </w:p>
        </w:tc>
        <w:tc>
          <w:tcPr>
            <w:tcW w:w="6120" w:type="dxa"/>
            <w:shd w:val="clear" w:color="auto" w:fill="F2F2F2" w:themeFill="background1" w:themeFillShade="F2"/>
            <w:vAlign w:val="center"/>
          </w:tcPr>
          <w:p w14:paraId="45F9A6A4" w14:textId="308B9846" w:rsidR="00D54E82" w:rsidRPr="005E4DF7" w:rsidRDefault="00D54E82" w:rsidP="005E4DF7">
            <w:pPr>
              <w:spacing w:before="20" w:after="20"/>
              <w:rPr>
                <w:b/>
                <w:bCs/>
                <w:sz w:val="20"/>
                <w:szCs w:val="20"/>
              </w:rPr>
            </w:pPr>
            <w:r w:rsidRPr="005E4DF7">
              <w:rPr>
                <w:b/>
                <w:bCs/>
                <w:sz w:val="20"/>
                <w:szCs w:val="20"/>
              </w:rPr>
              <w:t>Analysis</w:t>
            </w:r>
          </w:p>
        </w:tc>
      </w:tr>
      <w:tr w:rsidR="00853C10" w:rsidRPr="00853C10" w14:paraId="7EBCBDC1" w14:textId="77777777" w:rsidTr="0038465D">
        <w:tc>
          <w:tcPr>
            <w:tcW w:w="3415" w:type="dxa"/>
            <w:shd w:val="clear" w:color="auto" w:fill="auto"/>
            <w:vAlign w:val="center"/>
          </w:tcPr>
          <w:p w14:paraId="5242F0CC" w14:textId="76FEA9E3" w:rsidR="00853C10" w:rsidRPr="005E4DF7" w:rsidRDefault="00853C10" w:rsidP="005E4DF7">
            <w:pPr>
              <w:spacing w:before="20" w:after="20"/>
              <w:rPr>
                <w:sz w:val="20"/>
                <w:szCs w:val="20"/>
              </w:rPr>
            </w:pPr>
            <w:r w:rsidRPr="005E4DF7">
              <w:rPr>
                <w:sz w:val="20"/>
                <w:szCs w:val="20"/>
              </w:rPr>
              <w:t xml:space="preserve">Variable Speed Drive on </w:t>
            </w:r>
            <w:r w:rsidRPr="005E4DF7">
              <w:rPr>
                <w:sz w:val="20"/>
                <w:szCs w:val="20"/>
              </w:rPr>
              <w:br/>
              <w:t xml:space="preserve">Condenser Water Pump (CWP) Control </w:t>
            </w:r>
          </w:p>
        </w:tc>
        <w:tc>
          <w:tcPr>
            <w:tcW w:w="6120" w:type="dxa"/>
            <w:vAlign w:val="center"/>
          </w:tcPr>
          <w:p w14:paraId="6D1CA397" w14:textId="054E3DC4" w:rsidR="00853C10" w:rsidRPr="005E4DF7" w:rsidRDefault="00853C10" w:rsidP="005E4DF7">
            <w:pPr>
              <w:spacing w:before="20" w:after="20"/>
              <w:rPr>
                <w:sz w:val="20"/>
                <w:szCs w:val="20"/>
              </w:rPr>
            </w:pPr>
            <w:r w:rsidRPr="005E4DF7">
              <w:rPr>
                <w:sz w:val="20"/>
                <w:szCs w:val="20"/>
              </w:rPr>
              <w:t xml:space="preserve">Title 24 does not require </w:t>
            </w:r>
            <w:r w:rsidR="00A5765D">
              <w:rPr>
                <w:sz w:val="20"/>
                <w:szCs w:val="20"/>
              </w:rPr>
              <w:t>VSDs</w:t>
            </w:r>
            <w:r w:rsidR="00A5765D" w:rsidRPr="005E4DF7">
              <w:rPr>
                <w:sz w:val="20"/>
                <w:szCs w:val="20"/>
              </w:rPr>
              <w:t xml:space="preserve"> </w:t>
            </w:r>
            <w:r w:rsidRPr="005E4DF7">
              <w:rPr>
                <w:sz w:val="20"/>
                <w:szCs w:val="20"/>
              </w:rPr>
              <w:t xml:space="preserve">on CWPs. Hence, it is highly likely for the measure NOT to have been fully adopted by industry. Therefore, this measure has savings potential above current </w:t>
            </w:r>
            <w:r w:rsidR="005D52F1" w:rsidRPr="005E4DF7">
              <w:rPr>
                <w:sz w:val="20"/>
                <w:szCs w:val="20"/>
              </w:rPr>
              <w:t xml:space="preserve">industry standard </w:t>
            </w:r>
            <w:r w:rsidRPr="005E4DF7">
              <w:rPr>
                <w:sz w:val="20"/>
                <w:szCs w:val="20"/>
              </w:rPr>
              <w:t>practice.</w:t>
            </w:r>
          </w:p>
        </w:tc>
      </w:tr>
      <w:tr w:rsidR="00853C10" w:rsidRPr="00853C10" w14:paraId="1B671498" w14:textId="77777777" w:rsidTr="0038465D">
        <w:tc>
          <w:tcPr>
            <w:tcW w:w="3415" w:type="dxa"/>
            <w:shd w:val="clear" w:color="auto" w:fill="auto"/>
            <w:vAlign w:val="center"/>
          </w:tcPr>
          <w:p w14:paraId="29C89684" w14:textId="22C85A02" w:rsidR="00853C10" w:rsidRPr="005E4DF7" w:rsidRDefault="00853C10" w:rsidP="005E4DF7">
            <w:pPr>
              <w:spacing w:before="20" w:after="20"/>
              <w:rPr>
                <w:sz w:val="20"/>
                <w:szCs w:val="20"/>
              </w:rPr>
            </w:pPr>
            <w:r w:rsidRPr="005E4DF7">
              <w:rPr>
                <w:sz w:val="20"/>
                <w:szCs w:val="20"/>
              </w:rPr>
              <w:t xml:space="preserve">Variable Speed Drive on </w:t>
            </w:r>
            <w:r w:rsidRPr="005E4DF7">
              <w:rPr>
                <w:sz w:val="20"/>
                <w:szCs w:val="20"/>
              </w:rPr>
              <w:br/>
              <w:t xml:space="preserve">Chilled Water Pump (CHWP) Control </w:t>
            </w:r>
          </w:p>
        </w:tc>
        <w:tc>
          <w:tcPr>
            <w:tcW w:w="6120" w:type="dxa"/>
            <w:vAlign w:val="center"/>
          </w:tcPr>
          <w:p w14:paraId="0F43141B" w14:textId="25A4372F" w:rsidR="00853C10" w:rsidRPr="005E4DF7" w:rsidRDefault="00D54E82" w:rsidP="005E4DF7">
            <w:pPr>
              <w:spacing w:before="20" w:after="20"/>
              <w:rPr>
                <w:sz w:val="20"/>
                <w:szCs w:val="20"/>
              </w:rPr>
            </w:pPr>
            <w:r w:rsidRPr="005E4DF7">
              <w:rPr>
                <w:sz w:val="20"/>
                <w:szCs w:val="20"/>
              </w:rPr>
              <w:t xml:space="preserve">A </w:t>
            </w:r>
            <w:r w:rsidR="00A5765D">
              <w:rPr>
                <w:sz w:val="20"/>
                <w:szCs w:val="20"/>
              </w:rPr>
              <w:t>VSD</w:t>
            </w:r>
            <w:r w:rsidR="00A5765D" w:rsidRPr="005E4DF7">
              <w:rPr>
                <w:sz w:val="20"/>
                <w:szCs w:val="20"/>
              </w:rPr>
              <w:t xml:space="preserve"> </w:t>
            </w:r>
            <w:r w:rsidRPr="005E4DF7">
              <w:rPr>
                <w:sz w:val="20"/>
                <w:szCs w:val="20"/>
              </w:rPr>
              <w:t>on a CHWP has</w:t>
            </w:r>
            <w:r w:rsidR="00853C10" w:rsidRPr="005E4DF7">
              <w:rPr>
                <w:sz w:val="20"/>
                <w:szCs w:val="20"/>
              </w:rPr>
              <w:t xml:space="preserve"> been a code requirement since Title 24 2005</w:t>
            </w:r>
            <w:r w:rsidR="007E1F7E" w:rsidRPr="005E4DF7">
              <w:rPr>
                <w:rStyle w:val="FootnoteReference"/>
                <w:sz w:val="20"/>
                <w:szCs w:val="20"/>
              </w:rPr>
              <w:footnoteReference w:id="4"/>
            </w:r>
            <w:r w:rsidR="00853C10" w:rsidRPr="005E4DF7">
              <w:rPr>
                <w:sz w:val="20"/>
                <w:szCs w:val="20"/>
              </w:rPr>
              <w:t xml:space="preserve">. </w:t>
            </w:r>
            <w:r w:rsidR="009473BF" w:rsidRPr="005E4DF7">
              <w:rPr>
                <w:sz w:val="20"/>
                <w:szCs w:val="20"/>
              </w:rPr>
              <w:t>CHWP</w:t>
            </w:r>
            <w:r w:rsidR="00BE3841" w:rsidRPr="005E4DF7">
              <w:rPr>
                <w:sz w:val="20"/>
                <w:szCs w:val="20"/>
              </w:rPr>
              <w:t xml:space="preserve"> retrofit is deemed as alteration in Title 24 and triggers </w:t>
            </w:r>
            <w:r w:rsidR="00253917" w:rsidRPr="005E4DF7">
              <w:rPr>
                <w:sz w:val="20"/>
                <w:szCs w:val="20"/>
              </w:rPr>
              <w:t xml:space="preserve">mandatory and prescriptive requirements. </w:t>
            </w:r>
            <w:r w:rsidR="00853C10" w:rsidRPr="005E4DF7">
              <w:rPr>
                <w:sz w:val="20"/>
                <w:szCs w:val="20"/>
              </w:rPr>
              <w:t>Hence, this measure is only eligible for CHWP vintages before 2005</w:t>
            </w:r>
            <w:r w:rsidR="005D52F1" w:rsidRPr="005E4DF7">
              <w:rPr>
                <w:sz w:val="20"/>
                <w:szCs w:val="20"/>
              </w:rPr>
              <w:t xml:space="preserve"> including prof of existing condition</w:t>
            </w:r>
            <w:r w:rsidR="00853C10" w:rsidRPr="005E4DF7">
              <w:rPr>
                <w:sz w:val="20"/>
                <w:szCs w:val="20"/>
              </w:rPr>
              <w:t xml:space="preserve">.  </w:t>
            </w:r>
          </w:p>
        </w:tc>
      </w:tr>
    </w:tbl>
    <w:p w14:paraId="26392660" w14:textId="77777777" w:rsidR="003077CB" w:rsidRDefault="003077CB" w:rsidP="003077CB">
      <w:pPr>
        <w:rPr>
          <w:rFonts w:cstheme="minorHAnsi"/>
          <w:szCs w:val="20"/>
        </w:rPr>
      </w:pPr>
    </w:p>
    <w:p w14:paraId="7D9DA4A6" w14:textId="6765E9D9" w:rsidR="007D230B" w:rsidRDefault="007D230B" w:rsidP="0016415E">
      <w:pPr>
        <w:pStyle w:val="eTRMHeading3"/>
      </w:pPr>
      <w:bookmarkStart w:id="16" w:name="_Toc486490850"/>
      <w:bookmarkStart w:id="17" w:name="_Toc486580921"/>
      <w:bookmarkStart w:id="18" w:name="_Toc12448779"/>
      <w:r w:rsidRPr="0001609E">
        <w:t>Code Requirements</w:t>
      </w:r>
      <w:bookmarkEnd w:id="16"/>
      <w:bookmarkEnd w:id="17"/>
      <w:bookmarkEnd w:id="18"/>
    </w:p>
    <w:p w14:paraId="4BC918BA" w14:textId="55623521" w:rsidR="00ED17BB" w:rsidRDefault="00ED17BB" w:rsidP="00ED17BB">
      <w:r>
        <w:t>Applicable state and federal codes are specified below.</w:t>
      </w:r>
    </w:p>
    <w:p w14:paraId="7C946DE7" w14:textId="77777777" w:rsidR="00ED17BB" w:rsidRPr="0001609E" w:rsidRDefault="00ED17BB" w:rsidP="0038465D">
      <w:pPr>
        <w:pStyle w:val="Caption"/>
      </w:pPr>
      <w:r w:rsidRPr="0001609E">
        <w:lastRenderedPageBreak/>
        <w:t xml:space="preserve">Applicable State and Federal Codes and Standards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55"/>
        <w:gridCol w:w="3060"/>
        <w:gridCol w:w="1620"/>
      </w:tblGrid>
      <w:tr w:rsidR="00ED17BB" w:rsidRPr="0001609E" w14:paraId="5C8339FB" w14:textId="77777777" w:rsidTr="00982096">
        <w:trPr>
          <w:cantSplit/>
          <w:trHeight w:val="20"/>
        </w:trPr>
        <w:tc>
          <w:tcPr>
            <w:tcW w:w="4855" w:type="dxa"/>
            <w:shd w:val="clear" w:color="auto" w:fill="F2F2F2" w:themeFill="background1" w:themeFillShade="F2"/>
            <w:vAlign w:val="bottom"/>
          </w:tcPr>
          <w:p w14:paraId="65492E94" w14:textId="77777777" w:rsidR="00ED17BB" w:rsidRPr="0001609E" w:rsidRDefault="00ED17BB" w:rsidP="00982096">
            <w:pPr>
              <w:keepNext/>
              <w:keepLines/>
              <w:spacing w:before="20" w:after="20"/>
              <w:rPr>
                <w:b/>
                <w:sz w:val="20"/>
                <w:szCs w:val="20"/>
              </w:rPr>
            </w:pPr>
            <w:r w:rsidRPr="0001609E">
              <w:rPr>
                <w:b/>
                <w:sz w:val="20"/>
              </w:rPr>
              <w:t>Code</w:t>
            </w:r>
          </w:p>
        </w:tc>
        <w:tc>
          <w:tcPr>
            <w:tcW w:w="3060" w:type="dxa"/>
            <w:shd w:val="clear" w:color="auto" w:fill="F2F2F2" w:themeFill="background1" w:themeFillShade="F2"/>
            <w:vAlign w:val="bottom"/>
          </w:tcPr>
          <w:p w14:paraId="438CC0C0" w14:textId="77777777" w:rsidR="00ED17BB" w:rsidRPr="0001609E" w:rsidRDefault="00ED17BB" w:rsidP="00982096">
            <w:pPr>
              <w:keepNext/>
              <w:keepLines/>
              <w:spacing w:before="20" w:after="20"/>
              <w:jc w:val="center"/>
              <w:rPr>
                <w:b/>
                <w:sz w:val="20"/>
                <w:szCs w:val="20"/>
              </w:rPr>
            </w:pPr>
            <w:r w:rsidRPr="0001609E">
              <w:rPr>
                <w:b/>
                <w:sz w:val="20"/>
              </w:rPr>
              <w:t>Applicable Code Reference</w:t>
            </w:r>
          </w:p>
        </w:tc>
        <w:tc>
          <w:tcPr>
            <w:tcW w:w="1620" w:type="dxa"/>
            <w:shd w:val="clear" w:color="auto" w:fill="F2F2F2" w:themeFill="background1" w:themeFillShade="F2"/>
            <w:vAlign w:val="bottom"/>
          </w:tcPr>
          <w:p w14:paraId="09CB6F8D" w14:textId="77777777" w:rsidR="00ED17BB" w:rsidRPr="0001609E" w:rsidRDefault="00ED17BB" w:rsidP="00982096">
            <w:pPr>
              <w:keepNext/>
              <w:keepLines/>
              <w:spacing w:before="20" w:after="20"/>
              <w:jc w:val="center"/>
              <w:rPr>
                <w:b/>
                <w:sz w:val="20"/>
                <w:szCs w:val="20"/>
              </w:rPr>
            </w:pPr>
            <w:r w:rsidRPr="0001609E">
              <w:rPr>
                <w:b/>
                <w:sz w:val="20"/>
              </w:rPr>
              <w:t>Effective Date</w:t>
            </w:r>
          </w:p>
        </w:tc>
      </w:tr>
      <w:tr w:rsidR="00ED17BB" w:rsidRPr="0001609E" w14:paraId="558E02DE" w14:textId="77777777" w:rsidTr="00982096">
        <w:trPr>
          <w:cantSplit/>
          <w:trHeight w:val="20"/>
        </w:trPr>
        <w:tc>
          <w:tcPr>
            <w:tcW w:w="4855" w:type="dxa"/>
            <w:shd w:val="clear" w:color="auto" w:fill="auto"/>
          </w:tcPr>
          <w:p w14:paraId="31543025" w14:textId="77777777" w:rsidR="00ED17BB" w:rsidRPr="0001609E" w:rsidRDefault="00ED17BB" w:rsidP="00982096">
            <w:pPr>
              <w:keepNext/>
              <w:keepLines/>
              <w:spacing w:before="20" w:after="20"/>
              <w:rPr>
                <w:sz w:val="20"/>
                <w:szCs w:val="20"/>
              </w:rPr>
            </w:pPr>
            <w:r w:rsidRPr="0001609E">
              <w:rPr>
                <w:sz w:val="20"/>
              </w:rPr>
              <w:t xml:space="preserve">CA Appliance Efficiency Regulations – Title 20 </w:t>
            </w:r>
          </w:p>
        </w:tc>
        <w:tc>
          <w:tcPr>
            <w:tcW w:w="3060" w:type="dxa"/>
            <w:shd w:val="clear" w:color="auto" w:fill="auto"/>
          </w:tcPr>
          <w:p w14:paraId="05C7CCBE" w14:textId="77777777" w:rsidR="00ED17BB" w:rsidRPr="00853C10" w:rsidRDefault="00ED17BB" w:rsidP="00982096">
            <w:pPr>
              <w:keepNext/>
              <w:keepLines/>
              <w:spacing w:before="20" w:after="20"/>
              <w:rPr>
                <w:sz w:val="20"/>
                <w:szCs w:val="20"/>
              </w:rPr>
            </w:pPr>
            <w:r w:rsidRPr="00853C10">
              <w:rPr>
                <w:sz w:val="20"/>
                <w:szCs w:val="20"/>
              </w:rPr>
              <w:t>None</w:t>
            </w:r>
          </w:p>
        </w:tc>
        <w:tc>
          <w:tcPr>
            <w:tcW w:w="1620" w:type="dxa"/>
            <w:shd w:val="clear" w:color="auto" w:fill="auto"/>
          </w:tcPr>
          <w:p w14:paraId="5D064B92" w14:textId="77777777" w:rsidR="00ED17BB" w:rsidRPr="00853C10" w:rsidRDefault="00ED17BB" w:rsidP="00982096">
            <w:pPr>
              <w:keepNext/>
              <w:keepLines/>
              <w:spacing w:before="20" w:after="20"/>
              <w:jc w:val="center"/>
              <w:rPr>
                <w:sz w:val="20"/>
                <w:szCs w:val="20"/>
              </w:rPr>
            </w:pPr>
            <w:r w:rsidRPr="00853C10">
              <w:rPr>
                <w:sz w:val="20"/>
                <w:szCs w:val="20"/>
              </w:rPr>
              <w:t>n/a</w:t>
            </w:r>
          </w:p>
        </w:tc>
      </w:tr>
      <w:tr w:rsidR="00ED17BB" w:rsidRPr="0001609E" w14:paraId="78CBCAAA" w14:textId="77777777" w:rsidTr="00982096">
        <w:trPr>
          <w:cantSplit/>
          <w:trHeight w:val="20"/>
        </w:trPr>
        <w:tc>
          <w:tcPr>
            <w:tcW w:w="4855" w:type="dxa"/>
            <w:shd w:val="clear" w:color="auto" w:fill="auto"/>
          </w:tcPr>
          <w:p w14:paraId="4410EEE4" w14:textId="77777777" w:rsidR="00ED17BB" w:rsidRPr="0001609E" w:rsidRDefault="00ED17BB" w:rsidP="00982096">
            <w:pPr>
              <w:keepNext/>
              <w:keepLines/>
              <w:spacing w:before="20" w:after="20"/>
              <w:rPr>
                <w:sz w:val="20"/>
                <w:szCs w:val="20"/>
              </w:rPr>
            </w:pPr>
            <w:r w:rsidRPr="0001609E">
              <w:rPr>
                <w:sz w:val="20"/>
              </w:rPr>
              <w:t xml:space="preserve">CA Building Energy Efficiency Standards – Title 24 </w:t>
            </w:r>
            <w:r>
              <w:rPr>
                <w:sz w:val="20"/>
              </w:rPr>
              <w:t>(2019)</w:t>
            </w:r>
          </w:p>
        </w:tc>
        <w:tc>
          <w:tcPr>
            <w:tcW w:w="3060" w:type="dxa"/>
            <w:shd w:val="clear" w:color="auto" w:fill="auto"/>
          </w:tcPr>
          <w:p w14:paraId="58A97E6A" w14:textId="77777777" w:rsidR="00ED17BB" w:rsidRPr="00853C10" w:rsidRDefault="00ED17BB" w:rsidP="00982096">
            <w:pPr>
              <w:keepNext/>
              <w:keepLines/>
              <w:spacing w:before="20" w:after="20"/>
              <w:rPr>
                <w:sz w:val="20"/>
                <w:szCs w:val="20"/>
              </w:rPr>
            </w:pPr>
            <w:r w:rsidRPr="00853C10">
              <w:rPr>
                <w:rFonts w:cstheme="minorHAnsi"/>
                <w:sz w:val="20"/>
                <w:szCs w:val="20"/>
              </w:rPr>
              <w:t>Section</w:t>
            </w:r>
            <w:r>
              <w:rPr>
                <w:rFonts w:cstheme="minorHAnsi"/>
                <w:sz w:val="20"/>
                <w:szCs w:val="20"/>
              </w:rPr>
              <w:t>s</w:t>
            </w:r>
            <w:r w:rsidRPr="00853C10">
              <w:rPr>
                <w:rFonts w:cstheme="minorHAnsi"/>
                <w:sz w:val="20"/>
                <w:szCs w:val="20"/>
              </w:rPr>
              <w:t xml:space="preserve"> 140.4(k)1 and 140.4(k)6</w:t>
            </w:r>
          </w:p>
        </w:tc>
        <w:tc>
          <w:tcPr>
            <w:tcW w:w="1620" w:type="dxa"/>
            <w:shd w:val="clear" w:color="auto" w:fill="auto"/>
          </w:tcPr>
          <w:p w14:paraId="79637D53" w14:textId="77777777" w:rsidR="00ED17BB" w:rsidRPr="00853C10" w:rsidRDefault="00ED17BB" w:rsidP="00982096">
            <w:pPr>
              <w:keepNext/>
              <w:keepLines/>
              <w:spacing w:before="20" w:after="20"/>
              <w:jc w:val="center"/>
              <w:rPr>
                <w:sz w:val="20"/>
                <w:szCs w:val="20"/>
              </w:rPr>
            </w:pPr>
            <w:r w:rsidRPr="00853C10">
              <w:rPr>
                <w:rFonts w:cstheme="minorHAnsi"/>
                <w:sz w:val="20"/>
                <w:szCs w:val="20"/>
              </w:rPr>
              <w:t>January 1, 20</w:t>
            </w:r>
            <w:r>
              <w:rPr>
                <w:rFonts w:cstheme="minorHAnsi"/>
                <w:sz w:val="20"/>
                <w:szCs w:val="20"/>
              </w:rPr>
              <w:t>20</w:t>
            </w:r>
          </w:p>
        </w:tc>
      </w:tr>
      <w:tr w:rsidR="00ED17BB" w:rsidRPr="0001609E" w14:paraId="028234C4" w14:textId="77777777" w:rsidTr="00982096">
        <w:trPr>
          <w:cantSplit/>
          <w:trHeight w:val="20"/>
        </w:trPr>
        <w:tc>
          <w:tcPr>
            <w:tcW w:w="4855" w:type="dxa"/>
            <w:shd w:val="clear" w:color="auto" w:fill="auto"/>
          </w:tcPr>
          <w:p w14:paraId="3D2AE327" w14:textId="77777777" w:rsidR="00ED17BB" w:rsidRPr="0001609E" w:rsidRDefault="00ED17BB" w:rsidP="00982096">
            <w:pPr>
              <w:keepNext/>
              <w:keepLines/>
              <w:spacing w:before="20" w:after="20"/>
              <w:rPr>
                <w:sz w:val="20"/>
                <w:szCs w:val="20"/>
              </w:rPr>
            </w:pPr>
            <w:r w:rsidRPr="0001609E">
              <w:rPr>
                <w:sz w:val="20"/>
              </w:rPr>
              <w:t>Federal Standards</w:t>
            </w:r>
          </w:p>
        </w:tc>
        <w:tc>
          <w:tcPr>
            <w:tcW w:w="3060" w:type="dxa"/>
            <w:shd w:val="clear" w:color="auto" w:fill="auto"/>
          </w:tcPr>
          <w:p w14:paraId="315931B3" w14:textId="77777777" w:rsidR="00ED17BB" w:rsidRPr="00853C10" w:rsidRDefault="00ED17BB" w:rsidP="00982096">
            <w:pPr>
              <w:keepNext/>
              <w:keepLines/>
              <w:spacing w:before="20" w:after="20"/>
              <w:rPr>
                <w:sz w:val="20"/>
                <w:szCs w:val="20"/>
              </w:rPr>
            </w:pPr>
            <w:r w:rsidRPr="00853C10">
              <w:rPr>
                <w:sz w:val="20"/>
                <w:szCs w:val="20"/>
              </w:rPr>
              <w:t>None</w:t>
            </w:r>
          </w:p>
        </w:tc>
        <w:tc>
          <w:tcPr>
            <w:tcW w:w="1620" w:type="dxa"/>
            <w:shd w:val="clear" w:color="auto" w:fill="auto"/>
          </w:tcPr>
          <w:p w14:paraId="45D47466" w14:textId="77777777" w:rsidR="00ED17BB" w:rsidRPr="00853C10" w:rsidRDefault="00ED17BB" w:rsidP="00982096">
            <w:pPr>
              <w:keepNext/>
              <w:keepLines/>
              <w:spacing w:before="20" w:after="20"/>
              <w:jc w:val="center"/>
              <w:rPr>
                <w:sz w:val="20"/>
                <w:szCs w:val="20"/>
              </w:rPr>
            </w:pPr>
            <w:r w:rsidRPr="00853C10">
              <w:rPr>
                <w:sz w:val="20"/>
                <w:szCs w:val="20"/>
              </w:rPr>
              <w:t>n/a</w:t>
            </w:r>
          </w:p>
        </w:tc>
      </w:tr>
    </w:tbl>
    <w:p w14:paraId="582EF029" w14:textId="77777777" w:rsidR="00ED17BB" w:rsidRPr="0001609E" w:rsidRDefault="00ED17BB" w:rsidP="00ED17BB"/>
    <w:p w14:paraId="399C44BB" w14:textId="36E52834" w:rsidR="00853C10" w:rsidRDefault="00853C10" w:rsidP="00257D08">
      <w:pPr>
        <w:rPr>
          <w:rFonts w:cstheme="minorHAnsi"/>
        </w:rPr>
      </w:pPr>
      <w:r>
        <w:rPr>
          <w:rFonts w:cstheme="minorHAnsi"/>
        </w:rPr>
        <w:t xml:space="preserve">The </w:t>
      </w:r>
      <w:r w:rsidR="00CF171A" w:rsidRPr="00CF171A">
        <w:rPr>
          <w:rFonts w:cstheme="minorHAnsi"/>
        </w:rPr>
        <w:t>2019 California Building Energy Efficiency Standards (Title 24)</w:t>
      </w:r>
      <w:r w:rsidR="00CF171A" w:rsidRPr="007A3FB6">
        <w:rPr>
          <w:rFonts w:cs="Calibri Light"/>
          <w:sz w:val="20"/>
          <w:vertAlign w:val="superscript"/>
        </w:rPr>
        <w:footnoteReference w:id="5"/>
      </w:r>
      <w:r w:rsidR="00257D08">
        <w:rPr>
          <w:rFonts w:cstheme="minorHAnsi"/>
        </w:rPr>
        <w:t xml:space="preserve">, </w:t>
      </w:r>
      <w:r>
        <w:rPr>
          <w:rFonts w:cstheme="minorHAnsi"/>
        </w:rPr>
        <w:t>stipulates the following:</w:t>
      </w:r>
    </w:p>
    <w:p w14:paraId="3C96AC5F" w14:textId="3D786E87" w:rsidR="00853C10" w:rsidRPr="00853C10" w:rsidRDefault="00257D08" w:rsidP="00853C10">
      <w:pPr>
        <w:ind w:left="720" w:right="1260"/>
        <w:rPr>
          <w:rFonts w:cstheme="minorHAnsi"/>
          <w:i/>
          <w:sz w:val="20"/>
        </w:rPr>
      </w:pPr>
      <w:r w:rsidRPr="00853C10">
        <w:rPr>
          <w:rFonts w:cstheme="minorHAnsi"/>
          <w:i/>
          <w:sz w:val="20"/>
        </w:rPr>
        <w:t xml:space="preserve">“HVAC chilled and hot water pumping shall be designed for variable fluid flow and shall be capable of reducing pump flow rates to no more than the larger of: a) 50 percent or less of the design flow rate; or b) the minimum flow required by the equipment manufacturer for the proper operation of equipment served by the system”. </w:t>
      </w:r>
      <w:r w:rsidR="00853C10" w:rsidRPr="00853C10">
        <w:rPr>
          <w:rFonts w:cstheme="minorHAnsi"/>
          <w:i/>
          <w:sz w:val="20"/>
        </w:rPr>
        <w:t xml:space="preserve">(Section 140.4(k)1, page </w:t>
      </w:r>
      <w:r w:rsidR="003B5182">
        <w:rPr>
          <w:rFonts w:cstheme="minorHAnsi"/>
          <w:i/>
          <w:sz w:val="20"/>
        </w:rPr>
        <w:t>220</w:t>
      </w:r>
      <w:r w:rsidR="00853C10" w:rsidRPr="00853C10">
        <w:rPr>
          <w:rFonts w:cstheme="minorHAnsi"/>
          <w:i/>
          <w:sz w:val="20"/>
        </w:rPr>
        <w:t xml:space="preserve">) </w:t>
      </w:r>
    </w:p>
    <w:p w14:paraId="053575EC" w14:textId="60EE99FF" w:rsidR="00257D08" w:rsidRDefault="00257D08" w:rsidP="00257D08">
      <w:pPr>
        <w:rPr>
          <w:rFonts w:cstheme="minorHAnsi"/>
        </w:rPr>
      </w:pPr>
      <w:r>
        <w:rPr>
          <w:rFonts w:cstheme="minorHAnsi"/>
        </w:rPr>
        <w:t xml:space="preserve">The exception to this requirement is systems that include no more than three control valves and total pumping power less than or equal to 1.5 hp. </w:t>
      </w:r>
    </w:p>
    <w:p w14:paraId="605EC825" w14:textId="3E131FD1" w:rsidR="00853C10" w:rsidRDefault="00257D08" w:rsidP="00257D08">
      <w:pPr>
        <w:rPr>
          <w:rFonts w:cstheme="minorHAnsi"/>
        </w:rPr>
      </w:pPr>
      <w:r>
        <w:rPr>
          <w:rFonts w:cstheme="minorHAnsi"/>
        </w:rPr>
        <w:t>Section 140.4(k)6A</w:t>
      </w:r>
      <w:r w:rsidR="00853C10">
        <w:rPr>
          <w:rFonts w:cstheme="minorHAnsi"/>
        </w:rPr>
        <w:t xml:space="preserve"> of Title 24</w:t>
      </w:r>
      <w:r>
        <w:rPr>
          <w:rFonts w:cstheme="minorHAnsi"/>
        </w:rPr>
        <w:t xml:space="preserve">, </w:t>
      </w:r>
      <w:r w:rsidR="00853C10">
        <w:rPr>
          <w:rFonts w:cstheme="minorHAnsi"/>
        </w:rPr>
        <w:t>specifies</w:t>
      </w:r>
      <w:r>
        <w:rPr>
          <w:rFonts w:cstheme="minorHAnsi"/>
        </w:rPr>
        <w:t xml:space="preserve"> requirements for </w:t>
      </w:r>
      <w:r w:rsidR="00853C10">
        <w:rPr>
          <w:rFonts w:cstheme="minorHAnsi"/>
        </w:rPr>
        <w:t>variable flow controls:</w:t>
      </w:r>
    </w:p>
    <w:p w14:paraId="7E65EEAB" w14:textId="77777777" w:rsidR="00853C10" w:rsidRPr="00853C10" w:rsidRDefault="00257D08" w:rsidP="00853C10">
      <w:pPr>
        <w:ind w:left="720" w:right="1350"/>
        <w:rPr>
          <w:rFonts w:cstheme="minorHAnsi"/>
          <w:i/>
          <w:sz w:val="20"/>
        </w:rPr>
      </w:pPr>
      <w:r w:rsidRPr="00853C10">
        <w:rPr>
          <w:rFonts w:cstheme="minorHAnsi"/>
          <w:i/>
          <w:sz w:val="20"/>
        </w:rPr>
        <w:t xml:space="preserve">“Individual pumps serving variable flow systems and having a motor horsepower exceeding 5 hp shall have controls or devices (such as variable speed control) that will result in pump motor demand of no more than 30 percent of design wattage at 50 percent of design water flow. The pumps shall be controlled as a function of required differential pressure.” </w:t>
      </w:r>
    </w:p>
    <w:p w14:paraId="7768136A" w14:textId="0828450A" w:rsidR="00257D08" w:rsidRDefault="00257D08" w:rsidP="00257D08">
      <w:pPr>
        <w:rPr>
          <w:rFonts w:cstheme="minorHAnsi"/>
        </w:rPr>
      </w:pPr>
      <w:r>
        <w:rPr>
          <w:rFonts w:cstheme="minorHAnsi"/>
        </w:rPr>
        <w:t>Additionally, Section 140.4(k)6B, provides requirements for pressure sensor location and setpoint. The exception</w:t>
      </w:r>
      <w:r w:rsidR="0087711C">
        <w:rPr>
          <w:rFonts w:cstheme="minorHAnsi"/>
        </w:rPr>
        <w:t>s</w:t>
      </w:r>
      <w:r>
        <w:rPr>
          <w:rFonts w:cstheme="minorHAnsi"/>
        </w:rPr>
        <w:t xml:space="preserve"> to Section 140.4(k)6 are heating hot water pumps and condenser water pumps (CWPs) serving only water-cooled chillers. </w:t>
      </w:r>
    </w:p>
    <w:p w14:paraId="0BED35BA" w14:textId="77777777" w:rsidR="00ED17BB" w:rsidRDefault="00ED17BB" w:rsidP="00257D08">
      <w:pPr>
        <w:rPr>
          <w:rFonts w:cstheme="minorHAnsi"/>
        </w:rPr>
      </w:pPr>
    </w:p>
    <w:p w14:paraId="1EE16D20" w14:textId="77777777" w:rsidR="007D230B" w:rsidRPr="0001609E" w:rsidRDefault="007D230B" w:rsidP="0016415E">
      <w:pPr>
        <w:pStyle w:val="eTRMHeading3"/>
      </w:pPr>
      <w:bookmarkStart w:id="19" w:name="_Toc486490851"/>
      <w:bookmarkStart w:id="20" w:name="_Toc486580922"/>
      <w:bookmarkStart w:id="21" w:name="_Toc12448780"/>
      <w:r w:rsidRPr="0001609E">
        <w:t>Normalizing Unit</w:t>
      </w:r>
      <w:bookmarkEnd w:id="19"/>
      <w:bookmarkEnd w:id="20"/>
      <w:bookmarkEnd w:id="21"/>
    </w:p>
    <w:p w14:paraId="731E4CA9" w14:textId="0C5B4E35" w:rsidR="005D52F1" w:rsidRDefault="003077CB" w:rsidP="00486585">
      <w:pPr>
        <w:rPr>
          <w:rFonts w:cs="Arial"/>
          <w:szCs w:val="20"/>
        </w:rPr>
      </w:pPr>
      <w:r>
        <w:rPr>
          <w:rFonts w:cs="Arial"/>
          <w:szCs w:val="20"/>
        </w:rPr>
        <w:t xml:space="preserve">Nominal </w:t>
      </w:r>
      <w:r w:rsidR="009F1B31">
        <w:rPr>
          <w:rFonts w:cs="Arial"/>
          <w:szCs w:val="20"/>
        </w:rPr>
        <w:t>h</w:t>
      </w:r>
      <w:r>
        <w:rPr>
          <w:rFonts w:cs="Arial"/>
          <w:szCs w:val="20"/>
        </w:rPr>
        <w:t>orsepower (</w:t>
      </w:r>
      <w:r w:rsidR="009F1B31">
        <w:rPr>
          <w:rFonts w:cs="Arial"/>
          <w:szCs w:val="20"/>
        </w:rPr>
        <w:t>hp</w:t>
      </w:r>
      <w:r>
        <w:rPr>
          <w:rFonts w:cs="Arial"/>
          <w:szCs w:val="20"/>
        </w:rPr>
        <w:t>)</w:t>
      </w:r>
    </w:p>
    <w:p w14:paraId="6D95A82E" w14:textId="25D3ECF2" w:rsidR="005D52F1" w:rsidRDefault="005D52F1" w:rsidP="0038465D">
      <w:bookmarkStart w:id="22" w:name="_Toc486490852"/>
      <w:bookmarkStart w:id="23" w:name="_Toc486580923"/>
      <w:bookmarkStart w:id="24" w:name="_Hlk515365299"/>
      <w:bookmarkStart w:id="25" w:name="_Hlk515878271"/>
    </w:p>
    <w:p w14:paraId="2F4904E6" w14:textId="2161E5DF" w:rsidR="007D230B" w:rsidRPr="0001609E" w:rsidRDefault="007D230B" w:rsidP="0016415E">
      <w:pPr>
        <w:pStyle w:val="eTRMHeading3"/>
      </w:pPr>
      <w:bookmarkStart w:id="26" w:name="_Toc12448781"/>
      <w:r w:rsidRPr="0001609E">
        <w:t>Program Requirements</w:t>
      </w:r>
      <w:bookmarkEnd w:id="22"/>
      <w:bookmarkEnd w:id="23"/>
      <w:bookmarkEnd w:id="26"/>
      <w:r w:rsidRPr="0001609E">
        <w:t xml:space="preserve"> </w:t>
      </w:r>
    </w:p>
    <w:p w14:paraId="35C16A7E" w14:textId="77777777" w:rsidR="00A107E7" w:rsidRDefault="00A107E7" w:rsidP="00A107E7">
      <w:pPr>
        <w:pStyle w:val="eTRMHeading5"/>
        <w:keepNext/>
        <w:keepLines/>
      </w:pPr>
      <w:bookmarkStart w:id="27" w:name="_Hlk516047641"/>
      <w:bookmarkEnd w:id="24"/>
      <w:r>
        <w:t>Measure Implementation Eligibility</w:t>
      </w:r>
    </w:p>
    <w:p w14:paraId="581F3F69" w14:textId="77777777" w:rsidR="00A107E7" w:rsidRDefault="00A107E7" w:rsidP="00A107E7">
      <w:bookmarkStart w:id="28" w:name="_Hlk527543844"/>
      <w:bookmarkStart w:id="29"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8"/>
    </w:p>
    <w:bookmarkEnd w:id="29"/>
    <w:p w14:paraId="41D07E9A" w14:textId="77777777" w:rsidR="00A107E7" w:rsidRPr="00CC4643" w:rsidRDefault="00A107E7" w:rsidP="00A107E7">
      <w:pPr>
        <w:rPr>
          <w:i/>
        </w:rPr>
      </w:pPr>
      <w:r w:rsidRPr="00CC4643">
        <w:rPr>
          <w:i/>
        </w:rPr>
        <w:lastRenderedPageBreak/>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4D68E683" w:rsidR="001B426F" w:rsidRPr="0001609E" w:rsidRDefault="001B426F" w:rsidP="0038465D">
      <w:pPr>
        <w:pStyle w:val="Caption"/>
      </w:pPr>
      <w:r w:rsidRPr="0001609E">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325"/>
        <w:gridCol w:w="2723"/>
        <w:gridCol w:w="3024"/>
      </w:tblGrid>
      <w:tr w:rsidR="001B426F" w:rsidRPr="0001609E" w14:paraId="40946250" w14:textId="77777777" w:rsidTr="0038465D">
        <w:trPr>
          <w:trHeight w:val="20"/>
        </w:trPr>
        <w:tc>
          <w:tcPr>
            <w:tcW w:w="3325"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01609E" w:rsidRDefault="001B426F" w:rsidP="00ED17BB">
            <w:pPr>
              <w:spacing w:before="20" w:after="20" w:line="240" w:lineRule="auto"/>
              <w:rPr>
                <w:b/>
                <w:bCs/>
                <w:sz w:val="20"/>
              </w:rPr>
            </w:pPr>
            <w:r w:rsidRPr="0001609E">
              <w:rPr>
                <w:b/>
                <w:bCs/>
                <w:sz w:val="20"/>
              </w:rPr>
              <w:t>Measure Application Type</w:t>
            </w:r>
          </w:p>
        </w:tc>
        <w:tc>
          <w:tcPr>
            <w:tcW w:w="2723"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01609E" w:rsidRDefault="001B426F" w:rsidP="00ED17BB">
            <w:pPr>
              <w:spacing w:before="20" w:after="20" w:line="240" w:lineRule="auto"/>
              <w:rPr>
                <w:b/>
                <w:bCs/>
                <w:sz w:val="20"/>
              </w:rPr>
            </w:pPr>
            <w:r w:rsidRPr="0001609E">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01609E" w:rsidRDefault="001B426F" w:rsidP="00ED17BB">
            <w:pPr>
              <w:spacing w:before="20" w:after="20" w:line="240" w:lineRule="auto"/>
              <w:rPr>
                <w:b/>
                <w:bCs/>
                <w:sz w:val="20"/>
              </w:rPr>
            </w:pPr>
            <w:r w:rsidRPr="0001609E">
              <w:rPr>
                <w:b/>
                <w:bCs/>
                <w:sz w:val="20"/>
              </w:rPr>
              <w:t>Sector</w:t>
            </w:r>
          </w:p>
        </w:tc>
      </w:tr>
      <w:tr w:rsidR="001B426F" w:rsidRPr="0001609E" w14:paraId="54F21FF2" w14:textId="77777777" w:rsidTr="0038465D">
        <w:trPr>
          <w:trHeight w:val="20"/>
        </w:trPr>
        <w:tc>
          <w:tcPr>
            <w:tcW w:w="3325" w:type="dxa"/>
            <w:noWrap/>
            <w:tcMar>
              <w:top w:w="0" w:type="dxa"/>
              <w:left w:w="108" w:type="dxa"/>
              <w:bottom w:w="0" w:type="dxa"/>
              <w:right w:w="108" w:type="dxa"/>
            </w:tcMar>
            <w:vAlign w:val="bottom"/>
          </w:tcPr>
          <w:p w14:paraId="178C5C26" w14:textId="6A42041A" w:rsidR="001B426F" w:rsidRPr="0001609E" w:rsidRDefault="008D1397" w:rsidP="00ED17BB">
            <w:pPr>
              <w:spacing w:before="20" w:after="20" w:line="240" w:lineRule="auto"/>
              <w:rPr>
                <w:color w:val="000000"/>
                <w:sz w:val="20"/>
              </w:rPr>
            </w:pPr>
            <w:r>
              <w:rPr>
                <w:color w:val="000000"/>
                <w:sz w:val="20"/>
              </w:rPr>
              <w:t xml:space="preserve">CWP Control - </w:t>
            </w:r>
            <w:r w:rsidR="00212E00">
              <w:rPr>
                <w:color w:val="000000"/>
                <w:sz w:val="20"/>
              </w:rPr>
              <w:t>New construction</w:t>
            </w:r>
          </w:p>
        </w:tc>
        <w:tc>
          <w:tcPr>
            <w:tcW w:w="2723" w:type="dxa"/>
            <w:noWrap/>
            <w:tcMar>
              <w:top w:w="0" w:type="dxa"/>
              <w:left w:w="108" w:type="dxa"/>
              <w:bottom w:w="0" w:type="dxa"/>
              <w:right w:w="108" w:type="dxa"/>
            </w:tcMar>
            <w:vAlign w:val="bottom"/>
          </w:tcPr>
          <w:p w14:paraId="7EB7E369" w14:textId="404DFBB3" w:rsidR="001B426F" w:rsidRPr="0001609E" w:rsidRDefault="00212E00" w:rsidP="00ED17BB">
            <w:pPr>
              <w:spacing w:before="20" w:after="20" w:line="240" w:lineRule="auto"/>
              <w:rPr>
                <w:color w:val="000000"/>
                <w:sz w:val="20"/>
              </w:rPr>
            </w:pPr>
            <w:r>
              <w:rPr>
                <w:color w:val="000000"/>
                <w:sz w:val="20"/>
              </w:rPr>
              <w:t>DnDeemDI</w:t>
            </w:r>
          </w:p>
        </w:tc>
        <w:tc>
          <w:tcPr>
            <w:tcW w:w="3024" w:type="dxa"/>
            <w:noWrap/>
            <w:tcMar>
              <w:top w:w="0" w:type="dxa"/>
              <w:left w:w="108" w:type="dxa"/>
              <w:bottom w:w="0" w:type="dxa"/>
              <w:right w:w="108" w:type="dxa"/>
            </w:tcMar>
            <w:vAlign w:val="bottom"/>
          </w:tcPr>
          <w:p w14:paraId="6F9C2987" w14:textId="6973F2C4" w:rsidR="001B426F" w:rsidRPr="0001609E" w:rsidRDefault="00212E00" w:rsidP="00ED17BB">
            <w:pPr>
              <w:spacing w:before="20" w:after="20" w:line="240" w:lineRule="auto"/>
              <w:rPr>
                <w:color w:val="000000"/>
                <w:sz w:val="20"/>
              </w:rPr>
            </w:pPr>
            <w:r>
              <w:rPr>
                <w:color w:val="000000"/>
                <w:sz w:val="20"/>
              </w:rPr>
              <w:t>Com</w:t>
            </w:r>
          </w:p>
        </w:tc>
      </w:tr>
      <w:tr w:rsidR="008D1397" w:rsidRPr="0001609E" w14:paraId="29EA5D59" w14:textId="77777777" w:rsidTr="0038465D">
        <w:trPr>
          <w:trHeight w:val="20"/>
        </w:trPr>
        <w:tc>
          <w:tcPr>
            <w:tcW w:w="3325" w:type="dxa"/>
            <w:noWrap/>
            <w:tcMar>
              <w:top w:w="0" w:type="dxa"/>
              <w:left w:w="108" w:type="dxa"/>
              <w:bottom w:w="0" w:type="dxa"/>
              <w:right w:w="108" w:type="dxa"/>
            </w:tcMar>
            <w:vAlign w:val="bottom"/>
          </w:tcPr>
          <w:p w14:paraId="3C987D0A" w14:textId="205988FA" w:rsidR="008D1397" w:rsidRDefault="008D1397" w:rsidP="00ED17BB">
            <w:pPr>
              <w:spacing w:before="20" w:after="20" w:line="240" w:lineRule="auto"/>
              <w:rPr>
                <w:color w:val="000000"/>
                <w:sz w:val="20"/>
              </w:rPr>
            </w:pPr>
            <w:r>
              <w:rPr>
                <w:color w:val="000000"/>
                <w:sz w:val="20"/>
              </w:rPr>
              <w:t>CWP Control - New construction</w:t>
            </w:r>
          </w:p>
        </w:tc>
        <w:tc>
          <w:tcPr>
            <w:tcW w:w="2723" w:type="dxa"/>
            <w:noWrap/>
            <w:tcMar>
              <w:top w:w="0" w:type="dxa"/>
              <w:left w:w="108" w:type="dxa"/>
              <w:bottom w:w="0" w:type="dxa"/>
              <w:right w:w="108" w:type="dxa"/>
            </w:tcMar>
            <w:vAlign w:val="bottom"/>
          </w:tcPr>
          <w:p w14:paraId="4101C385" w14:textId="482B954D" w:rsidR="008D1397" w:rsidRDefault="008D1397" w:rsidP="00ED17BB">
            <w:pPr>
              <w:spacing w:before="20" w:after="20" w:line="240" w:lineRule="auto"/>
              <w:rPr>
                <w:color w:val="000000"/>
                <w:sz w:val="20"/>
              </w:rPr>
            </w:pPr>
            <w:r>
              <w:rPr>
                <w:color w:val="000000"/>
                <w:sz w:val="20"/>
              </w:rPr>
              <w:t>DnDeem</w:t>
            </w:r>
            <w:r w:rsidR="00752118">
              <w:rPr>
                <w:color w:val="000000"/>
                <w:sz w:val="20"/>
              </w:rPr>
              <w:t>ed</w:t>
            </w:r>
          </w:p>
        </w:tc>
        <w:tc>
          <w:tcPr>
            <w:tcW w:w="3024" w:type="dxa"/>
            <w:noWrap/>
            <w:tcMar>
              <w:top w:w="0" w:type="dxa"/>
              <w:left w:w="108" w:type="dxa"/>
              <w:bottom w:w="0" w:type="dxa"/>
              <w:right w:w="108" w:type="dxa"/>
            </w:tcMar>
            <w:vAlign w:val="bottom"/>
          </w:tcPr>
          <w:p w14:paraId="7BB6ABD1" w14:textId="69159EB0" w:rsidR="008D1397" w:rsidRDefault="008D1397" w:rsidP="00ED17BB">
            <w:pPr>
              <w:spacing w:before="20" w:after="20" w:line="240" w:lineRule="auto"/>
              <w:rPr>
                <w:color w:val="000000"/>
                <w:sz w:val="20"/>
              </w:rPr>
            </w:pPr>
            <w:r>
              <w:rPr>
                <w:color w:val="000000"/>
                <w:sz w:val="20"/>
              </w:rPr>
              <w:t>Com</w:t>
            </w:r>
          </w:p>
        </w:tc>
      </w:tr>
      <w:tr w:rsidR="00503D14" w:rsidRPr="0001609E" w14:paraId="660949C7" w14:textId="77777777" w:rsidTr="0038465D">
        <w:trPr>
          <w:trHeight w:val="20"/>
        </w:trPr>
        <w:tc>
          <w:tcPr>
            <w:tcW w:w="3325" w:type="dxa"/>
            <w:noWrap/>
            <w:tcMar>
              <w:top w:w="0" w:type="dxa"/>
              <w:left w:w="108" w:type="dxa"/>
              <w:bottom w:w="0" w:type="dxa"/>
              <w:right w:w="108" w:type="dxa"/>
            </w:tcMar>
            <w:vAlign w:val="bottom"/>
          </w:tcPr>
          <w:p w14:paraId="200BDF13" w14:textId="518BA507" w:rsidR="00503D14" w:rsidRPr="0001609E" w:rsidRDefault="00503D14" w:rsidP="00ED17BB">
            <w:pPr>
              <w:spacing w:before="20" w:after="20" w:line="240" w:lineRule="auto"/>
              <w:rPr>
                <w:color w:val="000000"/>
                <w:sz w:val="20"/>
              </w:rPr>
            </w:pPr>
            <w:r>
              <w:rPr>
                <w:color w:val="000000"/>
                <w:sz w:val="20"/>
              </w:rPr>
              <w:t>CWP Control – Add-on equipment</w:t>
            </w:r>
          </w:p>
        </w:tc>
        <w:tc>
          <w:tcPr>
            <w:tcW w:w="2723" w:type="dxa"/>
            <w:noWrap/>
            <w:tcMar>
              <w:top w:w="0" w:type="dxa"/>
              <w:left w:w="108" w:type="dxa"/>
              <w:bottom w:w="0" w:type="dxa"/>
              <w:right w:w="108" w:type="dxa"/>
            </w:tcMar>
            <w:vAlign w:val="bottom"/>
          </w:tcPr>
          <w:p w14:paraId="0279A0B1" w14:textId="61A8C396" w:rsidR="00503D14" w:rsidRPr="0001609E" w:rsidRDefault="00503D14" w:rsidP="00ED17BB">
            <w:pPr>
              <w:spacing w:before="20" w:after="20" w:line="240" w:lineRule="auto"/>
              <w:rPr>
                <w:color w:val="000000"/>
                <w:sz w:val="20"/>
              </w:rPr>
            </w:pPr>
            <w:r>
              <w:rPr>
                <w:color w:val="000000"/>
                <w:sz w:val="20"/>
              </w:rPr>
              <w:t>DnDeemDI</w:t>
            </w:r>
          </w:p>
        </w:tc>
        <w:tc>
          <w:tcPr>
            <w:tcW w:w="3024" w:type="dxa"/>
            <w:noWrap/>
            <w:tcMar>
              <w:top w:w="0" w:type="dxa"/>
              <w:left w:w="108" w:type="dxa"/>
              <w:bottom w:w="0" w:type="dxa"/>
              <w:right w:w="108" w:type="dxa"/>
            </w:tcMar>
            <w:vAlign w:val="bottom"/>
          </w:tcPr>
          <w:p w14:paraId="0F16500A" w14:textId="7B7CC3E8" w:rsidR="00503D14" w:rsidRPr="0001609E" w:rsidRDefault="00503D14" w:rsidP="00ED17BB">
            <w:pPr>
              <w:spacing w:before="20" w:after="20" w:line="240" w:lineRule="auto"/>
              <w:rPr>
                <w:color w:val="000000"/>
                <w:sz w:val="20"/>
              </w:rPr>
            </w:pPr>
            <w:r>
              <w:rPr>
                <w:color w:val="000000"/>
                <w:sz w:val="20"/>
              </w:rPr>
              <w:t>Com</w:t>
            </w:r>
          </w:p>
        </w:tc>
      </w:tr>
      <w:tr w:rsidR="00503D14" w:rsidRPr="0001609E" w14:paraId="328E6DAF" w14:textId="77777777" w:rsidTr="0038465D">
        <w:trPr>
          <w:trHeight w:val="20"/>
        </w:trPr>
        <w:tc>
          <w:tcPr>
            <w:tcW w:w="3325" w:type="dxa"/>
            <w:noWrap/>
            <w:tcMar>
              <w:top w:w="0" w:type="dxa"/>
              <w:left w:w="108" w:type="dxa"/>
              <w:bottom w:w="0" w:type="dxa"/>
              <w:right w:w="108" w:type="dxa"/>
            </w:tcMar>
            <w:vAlign w:val="bottom"/>
          </w:tcPr>
          <w:p w14:paraId="685445BC" w14:textId="5CF85A1B" w:rsidR="00503D14" w:rsidRDefault="00503D14" w:rsidP="00ED17BB">
            <w:pPr>
              <w:spacing w:before="20" w:after="20" w:line="240" w:lineRule="auto"/>
              <w:rPr>
                <w:color w:val="000000"/>
                <w:sz w:val="20"/>
              </w:rPr>
            </w:pPr>
            <w:r>
              <w:rPr>
                <w:color w:val="000000"/>
                <w:sz w:val="20"/>
              </w:rPr>
              <w:t>CWP Control – Add-on equipment</w:t>
            </w:r>
          </w:p>
        </w:tc>
        <w:tc>
          <w:tcPr>
            <w:tcW w:w="2723" w:type="dxa"/>
            <w:noWrap/>
            <w:tcMar>
              <w:top w:w="0" w:type="dxa"/>
              <w:left w:w="108" w:type="dxa"/>
              <w:bottom w:w="0" w:type="dxa"/>
              <w:right w:w="108" w:type="dxa"/>
            </w:tcMar>
            <w:vAlign w:val="bottom"/>
          </w:tcPr>
          <w:p w14:paraId="04043303" w14:textId="1D085DA1" w:rsidR="00503D14" w:rsidRDefault="00503D14" w:rsidP="00ED17BB">
            <w:pPr>
              <w:spacing w:before="20" w:after="20" w:line="240" w:lineRule="auto"/>
              <w:rPr>
                <w:color w:val="000000"/>
                <w:sz w:val="20"/>
              </w:rPr>
            </w:pPr>
            <w:r>
              <w:rPr>
                <w:color w:val="000000"/>
                <w:sz w:val="20"/>
              </w:rPr>
              <w:t>DnDeemed</w:t>
            </w:r>
          </w:p>
        </w:tc>
        <w:tc>
          <w:tcPr>
            <w:tcW w:w="3024" w:type="dxa"/>
            <w:noWrap/>
            <w:tcMar>
              <w:top w:w="0" w:type="dxa"/>
              <w:left w:w="108" w:type="dxa"/>
              <w:bottom w:w="0" w:type="dxa"/>
              <w:right w:w="108" w:type="dxa"/>
            </w:tcMar>
            <w:vAlign w:val="bottom"/>
          </w:tcPr>
          <w:p w14:paraId="3025BB47" w14:textId="64FCA6DA" w:rsidR="00503D14" w:rsidRDefault="00503D14" w:rsidP="00ED17BB">
            <w:pPr>
              <w:spacing w:before="20" w:after="20" w:line="240" w:lineRule="auto"/>
              <w:rPr>
                <w:color w:val="000000"/>
                <w:sz w:val="20"/>
              </w:rPr>
            </w:pPr>
            <w:r>
              <w:rPr>
                <w:color w:val="000000"/>
                <w:sz w:val="20"/>
              </w:rPr>
              <w:t>Com</w:t>
            </w:r>
          </w:p>
        </w:tc>
      </w:tr>
      <w:tr w:rsidR="008D1397" w:rsidRPr="0001609E" w14:paraId="3FFE5535" w14:textId="77777777" w:rsidTr="0038465D">
        <w:trPr>
          <w:trHeight w:val="20"/>
        </w:trPr>
        <w:tc>
          <w:tcPr>
            <w:tcW w:w="3325" w:type="dxa"/>
            <w:noWrap/>
            <w:tcMar>
              <w:top w:w="0" w:type="dxa"/>
              <w:left w:w="108" w:type="dxa"/>
              <w:bottom w:w="0" w:type="dxa"/>
              <w:right w:w="108" w:type="dxa"/>
            </w:tcMar>
            <w:vAlign w:val="bottom"/>
          </w:tcPr>
          <w:p w14:paraId="2A46D96A" w14:textId="17A6C6A2" w:rsidR="008D1397" w:rsidRPr="0038465D" w:rsidRDefault="00503D14" w:rsidP="00ED17BB">
            <w:pPr>
              <w:spacing w:before="20" w:after="20" w:line="240" w:lineRule="auto"/>
              <w:rPr>
                <w:color w:val="000000"/>
                <w:sz w:val="20"/>
              </w:rPr>
            </w:pPr>
            <w:r w:rsidRPr="0038465D">
              <w:rPr>
                <w:color w:val="000000"/>
                <w:sz w:val="20"/>
              </w:rPr>
              <w:t>CHWP Control - Add-on equipment</w:t>
            </w:r>
          </w:p>
        </w:tc>
        <w:tc>
          <w:tcPr>
            <w:tcW w:w="2723" w:type="dxa"/>
            <w:noWrap/>
            <w:tcMar>
              <w:top w:w="0" w:type="dxa"/>
              <w:left w:w="108" w:type="dxa"/>
              <w:bottom w:w="0" w:type="dxa"/>
              <w:right w:w="108" w:type="dxa"/>
            </w:tcMar>
            <w:vAlign w:val="bottom"/>
          </w:tcPr>
          <w:p w14:paraId="7B0F759F" w14:textId="5A213932" w:rsidR="008D1397" w:rsidRPr="0038465D" w:rsidRDefault="00503D14" w:rsidP="00ED17BB">
            <w:pPr>
              <w:spacing w:before="20" w:after="20" w:line="240" w:lineRule="auto"/>
              <w:rPr>
                <w:color w:val="000000"/>
                <w:sz w:val="20"/>
              </w:rPr>
            </w:pPr>
            <w:r w:rsidRPr="0038465D">
              <w:rPr>
                <w:color w:val="000000"/>
                <w:sz w:val="20"/>
              </w:rPr>
              <w:t>DnDeemDI</w:t>
            </w:r>
          </w:p>
        </w:tc>
        <w:tc>
          <w:tcPr>
            <w:tcW w:w="3024" w:type="dxa"/>
            <w:noWrap/>
            <w:tcMar>
              <w:top w:w="0" w:type="dxa"/>
              <w:left w:w="108" w:type="dxa"/>
              <w:bottom w:w="0" w:type="dxa"/>
              <w:right w:w="108" w:type="dxa"/>
            </w:tcMar>
            <w:vAlign w:val="bottom"/>
          </w:tcPr>
          <w:p w14:paraId="1B2044DB" w14:textId="520931A6" w:rsidR="008D1397" w:rsidRPr="0038465D" w:rsidRDefault="00503D14" w:rsidP="00ED17BB">
            <w:pPr>
              <w:spacing w:before="20" w:after="20" w:line="240" w:lineRule="auto"/>
              <w:rPr>
                <w:color w:val="000000"/>
                <w:sz w:val="20"/>
              </w:rPr>
            </w:pPr>
            <w:r w:rsidRPr="0038465D">
              <w:rPr>
                <w:color w:val="000000"/>
                <w:sz w:val="20"/>
              </w:rPr>
              <w:t>Com</w:t>
            </w:r>
          </w:p>
        </w:tc>
      </w:tr>
    </w:tbl>
    <w:p w14:paraId="73035A5C" w14:textId="77777777" w:rsidR="001B426F" w:rsidRPr="0001609E" w:rsidRDefault="001B426F" w:rsidP="00B07D4B"/>
    <w:bookmarkEnd w:id="25"/>
    <w:bookmarkEnd w:id="27"/>
    <w:p w14:paraId="3CAF2C55" w14:textId="6E463F37" w:rsidR="0015367D" w:rsidRPr="0015367D" w:rsidRDefault="00196649" w:rsidP="0015367D">
      <w:pPr>
        <w:pStyle w:val="eTRMHeading5"/>
      </w:pPr>
      <w:r w:rsidRPr="0001609E">
        <w:t>Eligible Products</w:t>
      </w:r>
    </w:p>
    <w:p w14:paraId="27448A1A" w14:textId="27E5DBA5" w:rsidR="0015367D" w:rsidRPr="0015367D" w:rsidRDefault="0015367D" w:rsidP="0038465D">
      <w:r>
        <w:t xml:space="preserve">All new </w:t>
      </w:r>
      <w:r w:rsidR="006B18EF">
        <w:t xml:space="preserve">variable </w:t>
      </w:r>
      <w:r w:rsidR="00A5765D">
        <w:t>speed</w:t>
      </w:r>
      <w:r w:rsidR="006B18EF">
        <w:t xml:space="preserve"> drives (</w:t>
      </w:r>
      <w:r w:rsidR="00A5765D">
        <w:t>VSDs</w:t>
      </w:r>
      <w:r w:rsidR="006B18EF">
        <w:t>)</w:t>
      </w:r>
      <w:r>
        <w:t xml:space="preserve"> and motor equipment must be UL Listed and specifically rated for the application.</w:t>
      </w:r>
    </w:p>
    <w:p w14:paraId="038552D0" w14:textId="13394DEC" w:rsidR="003077CB" w:rsidRDefault="003077CB" w:rsidP="0038465D">
      <w:r>
        <w:t xml:space="preserve">For building types not listed </w:t>
      </w:r>
      <w:r w:rsidR="009A7AF6">
        <w:t>in this workpaper</w:t>
      </w:r>
      <w:r>
        <w:t xml:space="preserve"> but use water-cooled central plant systems, measure savings will be mapped under “Office Small,” which has relatively lower savings.  Program will track all building types incentivized under the measures.  </w:t>
      </w:r>
    </w:p>
    <w:p w14:paraId="2CC6999B" w14:textId="738989D4" w:rsidR="003077CB" w:rsidRDefault="003077CB" w:rsidP="0038465D">
      <w:r w:rsidRPr="000266F4">
        <w:t xml:space="preserve">Constant speed </w:t>
      </w:r>
      <w:r>
        <w:t>C</w:t>
      </w:r>
      <w:r w:rsidRPr="000266F4">
        <w:t xml:space="preserve">ondenser </w:t>
      </w:r>
      <w:r>
        <w:t>W</w:t>
      </w:r>
      <w:r w:rsidRPr="000266F4">
        <w:t>ater</w:t>
      </w:r>
      <w:r>
        <w:t xml:space="preserve"> P</w:t>
      </w:r>
      <w:r w:rsidRPr="000266F4">
        <w:t>ump</w:t>
      </w:r>
      <w:r>
        <w:t xml:space="preserve"> (CWP)</w:t>
      </w:r>
      <w:r w:rsidRPr="000266F4">
        <w:t xml:space="preserve"> </w:t>
      </w:r>
      <w:r>
        <w:t>and Chilled Water P</w:t>
      </w:r>
      <w:r w:rsidRPr="000266F4">
        <w:t>umps</w:t>
      </w:r>
      <w:r>
        <w:t xml:space="preserve"> (CHWP)</w:t>
      </w:r>
      <w:r w:rsidRPr="000266F4">
        <w:t xml:space="preserve"> not already equipped with</w:t>
      </w:r>
      <w:r w:rsidR="00A856A9">
        <w:t xml:space="preserve"> a variable </w:t>
      </w:r>
      <w:r w:rsidR="00A5765D">
        <w:t xml:space="preserve">speed </w:t>
      </w:r>
      <w:r w:rsidR="00A856A9">
        <w:t>drive</w:t>
      </w:r>
      <w:r w:rsidRPr="000266F4">
        <w:t xml:space="preserve"> </w:t>
      </w:r>
      <w:r w:rsidR="00A856A9">
        <w:t>(</w:t>
      </w:r>
      <w:r w:rsidR="00A5765D">
        <w:t>VSD</w:t>
      </w:r>
      <w:r w:rsidR="00A856A9">
        <w:t>)</w:t>
      </w:r>
      <w:r>
        <w:t xml:space="preserve"> are eligible.</w:t>
      </w:r>
    </w:p>
    <w:p w14:paraId="3BE779C4" w14:textId="19E612EB" w:rsidR="00A856A9" w:rsidRPr="0038465D" w:rsidRDefault="0015367D" w:rsidP="0038465D">
      <w:r w:rsidRPr="0015367D">
        <w:rPr>
          <w:b/>
        </w:rPr>
        <w:t xml:space="preserve">For CHWP </w:t>
      </w:r>
      <w:r w:rsidR="00A5765D">
        <w:rPr>
          <w:b/>
        </w:rPr>
        <w:t>VSD</w:t>
      </w:r>
      <w:r w:rsidR="00A5765D" w:rsidRPr="0015367D">
        <w:rPr>
          <w:b/>
        </w:rPr>
        <w:t xml:space="preserve"> </w:t>
      </w:r>
      <w:r w:rsidRPr="0015367D">
        <w:rPr>
          <w:b/>
        </w:rPr>
        <w:t>Incentives</w:t>
      </w:r>
      <w:r w:rsidR="006B18EF">
        <w:rPr>
          <w:b/>
        </w:rPr>
        <w:t xml:space="preserve">. </w:t>
      </w:r>
      <w:r w:rsidR="003077CB" w:rsidRPr="0038465D">
        <w:t xml:space="preserve">CHWP </w:t>
      </w:r>
      <w:r w:rsidR="00A5765D">
        <w:t>VSD</w:t>
      </w:r>
      <w:r w:rsidR="00A5765D" w:rsidRPr="0038465D">
        <w:t xml:space="preserve"> </w:t>
      </w:r>
      <w:r w:rsidR="003077CB" w:rsidRPr="0038465D">
        <w:t xml:space="preserve">measure is only eligible </w:t>
      </w:r>
      <w:r w:rsidR="00552143" w:rsidRPr="0038465D">
        <w:t>if the</w:t>
      </w:r>
      <w:r w:rsidR="003077CB" w:rsidRPr="0038465D">
        <w:t xml:space="preserve"> host equipment (CHWP) </w:t>
      </w:r>
      <w:r w:rsidR="00552143" w:rsidRPr="0038465D">
        <w:t>was</w:t>
      </w:r>
      <w:r w:rsidR="003077CB" w:rsidRPr="0038465D">
        <w:t xml:space="preserve"> installed before 2005 and </w:t>
      </w:r>
      <w:r w:rsidR="00552143" w:rsidRPr="0038465D">
        <w:t xml:space="preserve">the </w:t>
      </w:r>
      <w:r w:rsidR="003077CB" w:rsidRPr="0038465D">
        <w:t xml:space="preserve">chilled water coils are controlled by </w:t>
      </w:r>
      <w:r w:rsidR="00552143" w:rsidRPr="0038465D">
        <w:t>three</w:t>
      </w:r>
      <w:r w:rsidR="003077CB" w:rsidRPr="0038465D">
        <w:t xml:space="preserve">-way valves. </w:t>
      </w:r>
    </w:p>
    <w:p w14:paraId="74E57C5C" w14:textId="0004AB5F" w:rsidR="00A856A9" w:rsidRPr="0038465D" w:rsidRDefault="001B45D9" w:rsidP="0038465D">
      <w:r w:rsidRPr="0038465D">
        <w:t xml:space="preserve">This measure is only </w:t>
      </w:r>
      <w:r w:rsidR="00A856A9" w:rsidRPr="0038465D">
        <w:t xml:space="preserve">eligible for </w:t>
      </w:r>
      <w:r w:rsidRPr="0038465D">
        <w:t xml:space="preserve">delivery through </w:t>
      </w:r>
      <w:r w:rsidR="00A856A9" w:rsidRPr="0038465D">
        <w:t>d</w:t>
      </w:r>
      <w:r w:rsidRPr="0038465D">
        <w:t xml:space="preserve">ownstream </w:t>
      </w:r>
      <w:r w:rsidR="00A856A9" w:rsidRPr="0038465D">
        <w:t>d</w:t>
      </w:r>
      <w:r w:rsidRPr="0038465D">
        <w:t xml:space="preserve">irect </w:t>
      </w:r>
      <w:r w:rsidR="00A856A9" w:rsidRPr="0038465D">
        <w:t>i</w:t>
      </w:r>
      <w:r w:rsidRPr="0038465D">
        <w:t xml:space="preserve">nstall </w:t>
      </w:r>
      <w:r w:rsidR="00A856A9" w:rsidRPr="0038465D">
        <w:t xml:space="preserve">for which </w:t>
      </w:r>
      <w:r w:rsidR="00BC244B" w:rsidRPr="0038465D">
        <w:t xml:space="preserve">the </w:t>
      </w:r>
      <w:r w:rsidR="00A856A9" w:rsidRPr="0038465D">
        <w:t xml:space="preserve">installation </w:t>
      </w:r>
      <w:r w:rsidR="00BC244B" w:rsidRPr="0038465D">
        <w:t xml:space="preserve">contractor </w:t>
      </w:r>
      <w:r w:rsidR="00A856A9" w:rsidRPr="0038465D">
        <w:t xml:space="preserve">must </w:t>
      </w:r>
      <w:r w:rsidR="00BC244B" w:rsidRPr="0038465D">
        <w:t xml:space="preserve">verify the </w:t>
      </w:r>
      <w:r w:rsidR="009473BF" w:rsidRPr="0038465D">
        <w:t>type of existing controls.</w:t>
      </w:r>
      <w:r w:rsidR="00EC7512" w:rsidRPr="0038465D">
        <w:t xml:space="preserve"> Specifically, the </w:t>
      </w:r>
      <w:r w:rsidR="00A856A9" w:rsidRPr="0038465D">
        <w:t xml:space="preserve">installation </w:t>
      </w:r>
      <w:r w:rsidR="00EC7512" w:rsidRPr="0038465D">
        <w:t xml:space="preserve">contractor </w:t>
      </w:r>
      <w:r w:rsidR="00A856A9" w:rsidRPr="0038465D">
        <w:t>must:</w:t>
      </w:r>
    </w:p>
    <w:p w14:paraId="4EFBE6BF" w14:textId="00373581" w:rsidR="00A856A9" w:rsidRPr="0038465D" w:rsidRDefault="00A856A9" w:rsidP="0038465D">
      <w:pPr>
        <w:pStyle w:val="eTRMBulletedText"/>
        <w:numPr>
          <w:ilvl w:val="0"/>
          <w:numId w:val="37"/>
        </w:numPr>
      </w:pPr>
      <w:r w:rsidRPr="0038465D">
        <w:t>V</w:t>
      </w:r>
      <w:r w:rsidR="00EC7512" w:rsidRPr="0038465D">
        <w:t>erify and document</w:t>
      </w:r>
      <w:r w:rsidR="00373BBE" w:rsidRPr="0038465D">
        <w:t xml:space="preserve"> </w:t>
      </w:r>
      <w:r w:rsidR="00EC7512" w:rsidRPr="0038465D">
        <w:t>central plant vintage via “</w:t>
      </w:r>
      <w:r w:rsidRPr="0038465D">
        <w:t>a</w:t>
      </w:r>
      <w:r w:rsidR="00EC7512" w:rsidRPr="0038465D">
        <w:t>s-</w:t>
      </w:r>
      <w:r w:rsidRPr="0038465D">
        <w:t>b</w:t>
      </w:r>
      <w:r w:rsidR="00EC7512" w:rsidRPr="0038465D">
        <w:t>uilt” drawings or similar</w:t>
      </w:r>
    </w:p>
    <w:p w14:paraId="11939BE8" w14:textId="4652D8DD" w:rsidR="00A856A9" w:rsidRPr="0038465D" w:rsidRDefault="00A856A9" w:rsidP="0038465D">
      <w:pPr>
        <w:pStyle w:val="eTRMBulletedText"/>
        <w:numPr>
          <w:ilvl w:val="0"/>
          <w:numId w:val="37"/>
        </w:numPr>
      </w:pPr>
      <w:r w:rsidRPr="0038465D">
        <w:t>V</w:t>
      </w:r>
      <w:r w:rsidR="00373BBE" w:rsidRPr="0038465D">
        <w:t>erify and document that existing incentivized pump operates at constant volume</w:t>
      </w:r>
      <w:r w:rsidR="00982096" w:rsidRPr="0038465D">
        <w:t xml:space="preserve"> excluding modulating speed controls. </w:t>
      </w:r>
    </w:p>
    <w:p w14:paraId="59FF90F2" w14:textId="5429E38A" w:rsidR="003077CB" w:rsidRPr="0038465D" w:rsidRDefault="00A856A9" w:rsidP="0038465D">
      <w:pPr>
        <w:pStyle w:val="eTRMBulletedText"/>
        <w:numPr>
          <w:ilvl w:val="0"/>
          <w:numId w:val="37"/>
        </w:numPr>
      </w:pPr>
      <w:r w:rsidRPr="0038465D">
        <w:t>V</w:t>
      </w:r>
      <w:r w:rsidR="00373BBE" w:rsidRPr="0038465D">
        <w:t>erify and document that zone distribution system</w:t>
      </w:r>
      <w:r w:rsidR="00982096" w:rsidRPr="0038465D">
        <w:t xml:space="preserve"> (e.g., fan coil and/or air handler unit</w:t>
      </w:r>
      <w:r w:rsidR="00373BBE" w:rsidRPr="0038465D">
        <w:t xml:space="preserve">) is controlled by </w:t>
      </w:r>
      <w:r w:rsidR="00EC7512" w:rsidRPr="0038465D">
        <w:t>3-way-CHW valve</w:t>
      </w:r>
      <w:r w:rsidR="00373BBE" w:rsidRPr="0038465D">
        <w:t xml:space="preserve">s. </w:t>
      </w:r>
    </w:p>
    <w:p w14:paraId="51D649B8" w14:textId="39F9FB14" w:rsidR="00552143" w:rsidRPr="0016415E" w:rsidRDefault="00552143" w:rsidP="005E4DF7">
      <w:r w:rsidRPr="0016415E">
        <w:t xml:space="preserve">The simultaneous operation of the two measure offerings has interactive effects and impacts energy savings. If both measures are implemented for vintages 96 and 03, then the measures must be cascaded, and the total (aggregated) estimated savings will be slightly less than sum of the savings of the individual measure offerings. Given the vintage restrictions on the CHWP </w:t>
      </w:r>
      <w:r w:rsidR="00A5765D">
        <w:t>VSD</w:t>
      </w:r>
      <w:r w:rsidR="00A5765D" w:rsidRPr="0016415E">
        <w:t xml:space="preserve"> </w:t>
      </w:r>
      <w:r w:rsidRPr="0016415E">
        <w:t xml:space="preserve">measure offering, it is expected that this measure primarily will support CWP </w:t>
      </w:r>
      <w:r w:rsidR="00A5765D">
        <w:t>VSD</w:t>
      </w:r>
      <w:r w:rsidR="00A5765D" w:rsidRPr="0016415E">
        <w:t xml:space="preserve"> </w:t>
      </w:r>
      <w:r w:rsidRPr="0016415E">
        <w:t xml:space="preserve">implementation.   </w:t>
      </w:r>
    </w:p>
    <w:p w14:paraId="34110A68" w14:textId="462203AF" w:rsidR="003077CB" w:rsidRDefault="003077CB" w:rsidP="003077CB">
      <w:pPr>
        <w:rPr>
          <w:rFonts w:eastAsiaTheme="minorHAnsi"/>
          <w:szCs w:val="22"/>
        </w:rPr>
      </w:pPr>
      <w:r w:rsidRPr="00956DCA">
        <w:rPr>
          <w:rFonts w:cstheme="minorHAnsi"/>
          <w:b/>
        </w:rPr>
        <w:t xml:space="preserve">Implementation and </w:t>
      </w:r>
      <w:r w:rsidR="00A107E7">
        <w:rPr>
          <w:rFonts w:cstheme="minorHAnsi"/>
          <w:b/>
        </w:rPr>
        <w:t>I</w:t>
      </w:r>
      <w:r w:rsidRPr="00956DCA">
        <w:rPr>
          <w:rFonts w:cstheme="minorHAnsi"/>
          <w:b/>
        </w:rPr>
        <w:t xml:space="preserve">nstallation </w:t>
      </w:r>
      <w:r w:rsidR="00A107E7">
        <w:rPr>
          <w:rFonts w:cstheme="minorHAnsi"/>
          <w:b/>
        </w:rPr>
        <w:t>R</w:t>
      </w:r>
      <w:r w:rsidRPr="00956DCA">
        <w:rPr>
          <w:rFonts w:cstheme="minorHAnsi"/>
          <w:b/>
        </w:rPr>
        <w:t>equirements</w:t>
      </w:r>
      <w:r w:rsidR="00A107E7">
        <w:rPr>
          <w:rFonts w:cstheme="minorHAnsi"/>
          <w:b/>
        </w:rPr>
        <w:t xml:space="preserve">. </w:t>
      </w:r>
      <w:r>
        <w:rPr>
          <w:rFonts w:eastAsiaTheme="minorHAnsi"/>
          <w:szCs w:val="22"/>
        </w:rPr>
        <w:t xml:space="preserve">Successful implementation of this measure will depend greatly on the characteristics of the installed system. </w:t>
      </w:r>
      <w:r>
        <w:rPr>
          <w:rFonts w:cstheme="minorHAnsi"/>
        </w:rPr>
        <w:t xml:space="preserve">For </w:t>
      </w:r>
      <w:r w:rsidR="00302CD4">
        <w:rPr>
          <w:rFonts w:cstheme="minorHAnsi"/>
        </w:rPr>
        <w:t xml:space="preserve">a </w:t>
      </w:r>
      <w:r w:rsidR="00A5765D">
        <w:rPr>
          <w:rFonts w:cstheme="minorHAnsi"/>
        </w:rPr>
        <w:t xml:space="preserve">VSD </w:t>
      </w:r>
      <w:r>
        <w:rPr>
          <w:rFonts w:cstheme="minorHAnsi"/>
        </w:rPr>
        <w:t xml:space="preserve">addition to the CWP special attention </w:t>
      </w:r>
      <w:r w:rsidR="00A856A9">
        <w:rPr>
          <w:rFonts w:cstheme="minorHAnsi"/>
        </w:rPr>
        <w:t xml:space="preserve">must </w:t>
      </w:r>
      <w:r>
        <w:rPr>
          <w:rFonts w:cstheme="minorHAnsi"/>
        </w:rPr>
        <w:t xml:space="preserve">be given to the condenser water flow turndown capabilities of the existing chiller(s). It is imperative </w:t>
      </w:r>
      <w:r>
        <w:rPr>
          <w:rFonts w:eastAsiaTheme="minorHAnsi"/>
          <w:szCs w:val="22"/>
        </w:rPr>
        <w:t>that chiller manufacturer selection data and retrofit information be reviewed</w:t>
      </w:r>
      <w:r>
        <w:rPr>
          <w:rFonts w:cstheme="minorHAnsi"/>
        </w:rPr>
        <w:t xml:space="preserve"> </w:t>
      </w:r>
      <w:r w:rsidR="00302CD4">
        <w:rPr>
          <w:rFonts w:eastAsiaTheme="minorHAnsi"/>
          <w:szCs w:val="22"/>
        </w:rPr>
        <w:t xml:space="preserve">carefully </w:t>
      </w:r>
      <w:r>
        <w:rPr>
          <w:rFonts w:cstheme="minorHAnsi"/>
        </w:rPr>
        <w:t xml:space="preserve">to ensure that the existing chiller(s) </w:t>
      </w:r>
      <w:r w:rsidR="00302CD4">
        <w:rPr>
          <w:rFonts w:cstheme="minorHAnsi"/>
        </w:rPr>
        <w:t>is (</w:t>
      </w:r>
      <w:r>
        <w:rPr>
          <w:rFonts w:cstheme="minorHAnsi"/>
        </w:rPr>
        <w:t>are</w:t>
      </w:r>
      <w:r w:rsidR="00302CD4">
        <w:rPr>
          <w:rFonts w:cstheme="minorHAnsi"/>
        </w:rPr>
        <w:t>)</w:t>
      </w:r>
      <w:r>
        <w:rPr>
          <w:rFonts w:cstheme="minorHAnsi"/>
        </w:rPr>
        <w:t xml:space="preserve"> rated to operate at the selected minimum condenser water flow, and that the control strategy includes capability to increase the flow as needed to keep the leaving condenser temperature from exceeding an upper limit dependent on the existing chiller. </w:t>
      </w:r>
    </w:p>
    <w:p w14:paraId="1554995D" w14:textId="5D697F99" w:rsidR="003077CB" w:rsidRDefault="003077CB" w:rsidP="003077CB">
      <w:pPr>
        <w:rPr>
          <w:rFonts w:eastAsiaTheme="minorHAnsi"/>
          <w:szCs w:val="22"/>
        </w:rPr>
      </w:pPr>
      <w:r>
        <w:rPr>
          <w:rFonts w:eastAsiaTheme="minorHAnsi"/>
          <w:szCs w:val="22"/>
        </w:rPr>
        <w:lastRenderedPageBreak/>
        <w:t xml:space="preserve">For </w:t>
      </w:r>
      <w:r w:rsidR="00302CD4">
        <w:rPr>
          <w:rFonts w:eastAsiaTheme="minorHAnsi"/>
          <w:szCs w:val="22"/>
        </w:rPr>
        <w:t xml:space="preserve">a </w:t>
      </w:r>
      <w:r>
        <w:rPr>
          <w:rFonts w:eastAsiaTheme="minorHAnsi"/>
          <w:szCs w:val="22"/>
        </w:rPr>
        <w:t xml:space="preserve">CHWP, the designers should evaluate the flow control at the cooling/heating coil in the air-handling units and should consider </w:t>
      </w:r>
      <w:r w:rsidR="00F3792C">
        <w:rPr>
          <w:rFonts w:eastAsiaTheme="minorHAnsi"/>
          <w:szCs w:val="22"/>
        </w:rPr>
        <w:t xml:space="preserve">a </w:t>
      </w:r>
      <w:r>
        <w:rPr>
          <w:rFonts w:eastAsiaTheme="minorHAnsi"/>
          <w:szCs w:val="22"/>
        </w:rPr>
        <w:t>potential retrofit from 3-way to 2-way valve</w:t>
      </w:r>
      <w:r w:rsidR="00982096">
        <w:rPr>
          <w:rFonts w:eastAsiaTheme="minorHAnsi"/>
          <w:szCs w:val="22"/>
        </w:rPr>
        <w:t xml:space="preserve"> and/or pressure differential sensors and controls</w:t>
      </w:r>
      <w:r>
        <w:rPr>
          <w:rFonts w:eastAsiaTheme="minorHAnsi"/>
          <w:szCs w:val="22"/>
        </w:rPr>
        <w:t xml:space="preserve"> that may be needed to adequately complete the measure. </w:t>
      </w:r>
    </w:p>
    <w:p w14:paraId="36AD465F" w14:textId="484A0547" w:rsidR="00552143" w:rsidRDefault="003077CB" w:rsidP="003077CB">
      <w:pPr>
        <w:rPr>
          <w:rFonts w:eastAsiaTheme="minorHAnsi"/>
          <w:szCs w:val="22"/>
        </w:rPr>
      </w:pPr>
      <w:r>
        <w:rPr>
          <w:rFonts w:eastAsiaTheme="minorHAnsi"/>
          <w:szCs w:val="22"/>
        </w:rPr>
        <w:t xml:space="preserve">In all cases, measure installation </w:t>
      </w:r>
      <w:r w:rsidR="00302CD4">
        <w:rPr>
          <w:rFonts w:eastAsiaTheme="minorHAnsi"/>
          <w:szCs w:val="22"/>
        </w:rPr>
        <w:t xml:space="preserve">must </w:t>
      </w:r>
      <w:r>
        <w:rPr>
          <w:rFonts w:eastAsiaTheme="minorHAnsi"/>
          <w:szCs w:val="22"/>
        </w:rPr>
        <w:t xml:space="preserve">meet all applicable regulations including but not limited to the </w:t>
      </w:r>
      <w:r w:rsidR="00552143">
        <w:rPr>
          <w:rFonts w:eastAsiaTheme="minorHAnsi"/>
          <w:szCs w:val="22"/>
        </w:rPr>
        <w:t>current</w:t>
      </w:r>
      <w:r>
        <w:rPr>
          <w:rFonts w:eastAsiaTheme="minorHAnsi"/>
          <w:szCs w:val="22"/>
        </w:rPr>
        <w:t xml:space="preserve"> </w:t>
      </w:r>
      <w:r w:rsidR="00302CD4">
        <w:rPr>
          <w:rFonts w:eastAsiaTheme="minorHAnsi"/>
          <w:szCs w:val="22"/>
        </w:rPr>
        <w:t>California Building Energy Efficiency Standards (</w:t>
      </w:r>
      <w:r w:rsidR="00552143">
        <w:rPr>
          <w:rFonts w:eastAsiaTheme="minorHAnsi"/>
          <w:szCs w:val="22"/>
        </w:rPr>
        <w:t>Title 24</w:t>
      </w:r>
      <w:r w:rsidR="00302CD4">
        <w:rPr>
          <w:rFonts w:eastAsiaTheme="minorHAnsi"/>
          <w:szCs w:val="22"/>
        </w:rPr>
        <w:t>)</w:t>
      </w:r>
      <w:r w:rsidR="009E5EE8">
        <w:rPr>
          <w:rFonts w:eastAsiaTheme="minorHAnsi"/>
          <w:szCs w:val="22"/>
        </w:rPr>
        <w:t xml:space="preserve"> </w:t>
      </w:r>
      <w:r w:rsidRPr="009E5EE8">
        <w:rPr>
          <w:rFonts w:eastAsiaTheme="minorHAnsi"/>
          <w:szCs w:val="22"/>
        </w:rPr>
        <w:t xml:space="preserve">and </w:t>
      </w:r>
      <w:r w:rsidR="00302CD4">
        <w:rPr>
          <w:rFonts w:eastAsiaTheme="minorHAnsi"/>
          <w:szCs w:val="22"/>
        </w:rPr>
        <w:t xml:space="preserve">the National Electrical Code®. </w:t>
      </w:r>
    </w:p>
    <w:p w14:paraId="5AE1054D" w14:textId="77777777" w:rsidR="00552143" w:rsidRDefault="00552143" w:rsidP="003077CB">
      <w:pPr>
        <w:rPr>
          <w:rFonts w:eastAsiaTheme="minorHAnsi"/>
          <w:szCs w:val="22"/>
        </w:rPr>
      </w:pPr>
    </w:p>
    <w:p w14:paraId="7CE938DA" w14:textId="2434378C" w:rsidR="007B6A74" w:rsidRPr="0001609E" w:rsidRDefault="007B6A74" w:rsidP="00212E00">
      <w:pPr>
        <w:pStyle w:val="eTRMHeading5"/>
        <w:keepNext/>
        <w:keepLines/>
      </w:pPr>
      <w:r w:rsidRPr="0001609E">
        <w:t>Eligible Building Types</w:t>
      </w:r>
      <w:r w:rsidR="00E57AAD" w:rsidRPr="0001609E">
        <w:t xml:space="preserve"> and Vintages</w:t>
      </w:r>
    </w:p>
    <w:p w14:paraId="5334FCFA" w14:textId="59DC51B8" w:rsidR="009F1B31" w:rsidRDefault="009F1B31" w:rsidP="00212E00">
      <w:pPr>
        <w:keepNext/>
        <w:keepLines/>
      </w:pPr>
      <w:r>
        <w:t>This measure is applicable for the following building types</w:t>
      </w:r>
      <w:r w:rsidR="002F14F0">
        <w:t xml:space="preserve"> </w:t>
      </w:r>
      <w:r>
        <w:t>that use water-cooled central plant systems</w:t>
      </w:r>
      <w:r w:rsidR="002F14F0">
        <w:t xml:space="preserve">. </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35"/>
        <w:gridCol w:w="3330"/>
      </w:tblGrid>
      <w:tr w:rsidR="00212E00" w:rsidRPr="00212E00" w14:paraId="21051695" w14:textId="77777777" w:rsidTr="000F4CA7">
        <w:tc>
          <w:tcPr>
            <w:tcW w:w="7465" w:type="dxa"/>
            <w:gridSpan w:val="2"/>
            <w:shd w:val="clear" w:color="auto" w:fill="F2F2F2" w:themeFill="background1" w:themeFillShade="F2"/>
          </w:tcPr>
          <w:p w14:paraId="7BEF2901" w14:textId="3CAF9CB5" w:rsidR="00212E00" w:rsidRPr="00212E00" w:rsidRDefault="00212E00" w:rsidP="00212E00">
            <w:pPr>
              <w:spacing w:before="0" w:after="0"/>
              <w:jc w:val="center"/>
              <w:rPr>
                <w:b/>
                <w:sz w:val="20"/>
              </w:rPr>
            </w:pPr>
            <w:r w:rsidRPr="00212E00">
              <w:rPr>
                <w:b/>
                <w:sz w:val="20"/>
              </w:rPr>
              <w:t>Eligible Building Types</w:t>
            </w:r>
          </w:p>
        </w:tc>
      </w:tr>
      <w:tr w:rsidR="00C214C1" w:rsidRPr="00212E00" w14:paraId="5C440F5A" w14:textId="7F9040A6" w:rsidTr="000F4CA7">
        <w:tc>
          <w:tcPr>
            <w:tcW w:w="4135" w:type="dxa"/>
          </w:tcPr>
          <w:p w14:paraId="6C4CE041" w14:textId="42BBA808" w:rsidR="00C214C1" w:rsidRPr="00212E00" w:rsidRDefault="00C214C1" w:rsidP="00C214C1">
            <w:pPr>
              <w:spacing w:before="0" w:after="0"/>
              <w:rPr>
                <w:sz w:val="20"/>
              </w:rPr>
            </w:pPr>
            <w:r w:rsidRPr="00212E00">
              <w:rPr>
                <w:sz w:val="20"/>
              </w:rPr>
              <w:t>Education – Community College</w:t>
            </w:r>
            <w:r>
              <w:rPr>
                <w:sz w:val="20"/>
              </w:rPr>
              <w:t xml:space="preserve"> (ECC)</w:t>
            </w:r>
          </w:p>
        </w:tc>
        <w:tc>
          <w:tcPr>
            <w:tcW w:w="3330" w:type="dxa"/>
          </w:tcPr>
          <w:p w14:paraId="5C0D18CA" w14:textId="69FCC909" w:rsidR="00C214C1" w:rsidRPr="00212E00" w:rsidRDefault="00C214C1" w:rsidP="00C214C1">
            <w:pPr>
              <w:spacing w:before="0" w:after="0"/>
              <w:rPr>
                <w:sz w:val="20"/>
              </w:rPr>
            </w:pPr>
            <w:r w:rsidRPr="00212E00">
              <w:rPr>
                <w:sz w:val="20"/>
              </w:rPr>
              <w:t>Health/Medical - Nursing Home</w:t>
            </w:r>
            <w:r>
              <w:rPr>
                <w:sz w:val="20"/>
              </w:rPr>
              <w:t xml:space="preserve"> (Nrs)</w:t>
            </w:r>
          </w:p>
        </w:tc>
      </w:tr>
      <w:tr w:rsidR="00C214C1" w:rsidRPr="00212E00" w14:paraId="42322DD1" w14:textId="7D7CDA37" w:rsidTr="000F4CA7">
        <w:tc>
          <w:tcPr>
            <w:tcW w:w="4135" w:type="dxa"/>
          </w:tcPr>
          <w:p w14:paraId="3A0DE5B5" w14:textId="66F6E9B0" w:rsidR="00C214C1" w:rsidRPr="00212E00" w:rsidRDefault="00C214C1" w:rsidP="00C214C1">
            <w:pPr>
              <w:spacing w:before="0" w:after="0"/>
              <w:rPr>
                <w:sz w:val="20"/>
              </w:rPr>
            </w:pPr>
            <w:r w:rsidRPr="00212E00">
              <w:rPr>
                <w:sz w:val="20"/>
              </w:rPr>
              <w:t>Education – Secondary School</w:t>
            </w:r>
            <w:r>
              <w:rPr>
                <w:sz w:val="20"/>
              </w:rPr>
              <w:t xml:space="preserve"> (ESe)</w:t>
            </w:r>
          </w:p>
        </w:tc>
        <w:tc>
          <w:tcPr>
            <w:tcW w:w="3330" w:type="dxa"/>
          </w:tcPr>
          <w:p w14:paraId="39CC7235" w14:textId="5B484938" w:rsidR="00C214C1" w:rsidRPr="00212E00" w:rsidRDefault="00C214C1" w:rsidP="00C214C1">
            <w:pPr>
              <w:spacing w:before="0" w:after="0"/>
              <w:rPr>
                <w:sz w:val="20"/>
              </w:rPr>
            </w:pPr>
            <w:r w:rsidRPr="00212E00">
              <w:rPr>
                <w:sz w:val="20"/>
              </w:rPr>
              <w:t>Office Large</w:t>
            </w:r>
            <w:r>
              <w:rPr>
                <w:sz w:val="20"/>
              </w:rPr>
              <w:t xml:space="preserve"> (OfL)</w:t>
            </w:r>
          </w:p>
        </w:tc>
      </w:tr>
      <w:tr w:rsidR="00C214C1" w:rsidRPr="00212E00" w14:paraId="1DE5FF85" w14:textId="73462967" w:rsidTr="000F4CA7">
        <w:tc>
          <w:tcPr>
            <w:tcW w:w="4135" w:type="dxa"/>
          </w:tcPr>
          <w:p w14:paraId="1A147555" w14:textId="44E8B6DB" w:rsidR="00C214C1" w:rsidRPr="00212E00" w:rsidRDefault="00C214C1" w:rsidP="00C214C1">
            <w:pPr>
              <w:spacing w:before="0" w:after="0"/>
              <w:rPr>
                <w:sz w:val="20"/>
              </w:rPr>
            </w:pPr>
            <w:r w:rsidRPr="00212E00">
              <w:rPr>
                <w:sz w:val="20"/>
              </w:rPr>
              <w:t>Education – University</w:t>
            </w:r>
            <w:r>
              <w:rPr>
                <w:sz w:val="20"/>
              </w:rPr>
              <w:t xml:space="preserve"> (EUn)</w:t>
            </w:r>
          </w:p>
        </w:tc>
        <w:tc>
          <w:tcPr>
            <w:tcW w:w="3330" w:type="dxa"/>
          </w:tcPr>
          <w:p w14:paraId="65AF3F90" w14:textId="1CA25159" w:rsidR="00C214C1" w:rsidRPr="00212E00" w:rsidRDefault="00C214C1" w:rsidP="00C214C1">
            <w:pPr>
              <w:spacing w:before="0" w:after="0"/>
              <w:rPr>
                <w:sz w:val="20"/>
              </w:rPr>
            </w:pPr>
            <w:r w:rsidRPr="00212E00">
              <w:rPr>
                <w:sz w:val="20"/>
              </w:rPr>
              <w:t>Office Small</w:t>
            </w:r>
            <w:r>
              <w:rPr>
                <w:sz w:val="20"/>
              </w:rPr>
              <w:t xml:space="preserve"> (OfS)</w:t>
            </w:r>
          </w:p>
        </w:tc>
      </w:tr>
      <w:tr w:rsidR="00C214C1" w:rsidRPr="00212E00" w14:paraId="567069A8" w14:textId="0F266DED" w:rsidTr="000F4CA7">
        <w:tc>
          <w:tcPr>
            <w:tcW w:w="4135" w:type="dxa"/>
          </w:tcPr>
          <w:p w14:paraId="1B88494A" w14:textId="2F523865" w:rsidR="00C214C1" w:rsidRPr="00212E00" w:rsidRDefault="00C214C1" w:rsidP="00C214C1">
            <w:pPr>
              <w:spacing w:before="0" w:after="0"/>
              <w:rPr>
                <w:sz w:val="20"/>
              </w:rPr>
            </w:pPr>
            <w:r w:rsidRPr="00212E00">
              <w:rPr>
                <w:sz w:val="20"/>
              </w:rPr>
              <w:t xml:space="preserve">Health/Medical </w:t>
            </w:r>
            <w:r>
              <w:rPr>
                <w:sz w:val="20"/>
              </w:rPr>
              <w:t>–</w:t>
            </w:r>
            <w:r w:rsidRPr="00212E00">
              <w:rPr>
                <w:sz w:val="20"/>
              </w:rPr>
              <w:t xml:space="preserve"> Hospital</w:t>
            </w:r>
            <w:r>
              <w:rPr>
                <w:sz w:val="20"/>
              </w:rPr>
              <w:t xml:space="preserve"> (Hsp)</w:t>
            </w:r>
          </w:p>
        </w:tc>
        <w:tc>
          <w:tcPr>
            <w:tcW w:w="3330" w:type="dxa"/>
          </w:tcPr>
          <w:p w14:paraId="5053E52E" w14:textId="13971975" w:rsidR="00C214C1" w:rsidRPr="00212E00" w:rsidRDefault="00C214C1" w:rsidP="00C214C1">
            <w:pPr>
              <w:spacing w:before="0" w:after="0"/>
              <w:rPr>
                <w:sz w:val="20"/>
              </w:rPr>
            </w:pPr>
            <w:r w:rsidRPr="00212E00">
              <w:rPr>
                <w:sz w:val="20"/>
              </w:rPr>
              <w:t>Retail - Multistory Large</w:t>
            </w:r>
            <w:r>
              <w:rPr>
                <w:sz w:val="20"/>
              </w:rPr>
              <w:t xml:space="preserve"> (Rt3)</w:t>
            </w:r>
          </w:p>
        </w:tc>
      </w:tr>
      <w:tr w:rsidR="00212E00" w:rsidRPr="00212E00" w14:paraId="52C8F7BB" w14:textId="3D8BE583" w:rsidTr="000F4CA7">
        <w:tc>
          <w:tcPr>
            <w:tcW w:w="4135" w:type="dxa"/>
          </w:tcPr>
          <w:p w14:paraId="319240B4" w14:textId="7BA86884" w:rsidR="00212E00" w:rsidRPr="00212E00" w:rsidRDefault="00212E00" w:rsidP="00212E00">
            <w:pPr>
              <w:spacing w:before="0" w:after="0"/>
              <w:rPr>
                <w:sz w:val="20"/>
              </w:rPr>
            </w:pPr>
            <w:r w:rsidRPr="00212E00">
              <w:rPr>
                <w:sz w:val="20"/>
              </w:rPr>
              <w:t>Lodging – Hotel</w:t>
            </w:r>
            <w:r w:rsidR="000F4CA7">
              <w:rPr>
                <w:sz w:val="20"/>
              </w:rPr>
              <w:t xml:space="preserve"> (Htl)</w:t>
            </w:r>
          </w:p>
        </w:tc>
        <w:tc>
          <w:tcPr>
            <w:tcW w:w="3330" w:type="dxa"/>
          </w:tcPr>
          <w:p w14:paraId="3AF0973A" w14:textId="0943B0A2" w:rsidR="00212E00" w:rsidRPr="00212E00" w:rsidRDefault="00212E00" w:rsidP="00212E00">
            <w:pPr>
              <w:spacing w:before="0" w:after="0"/>
              <w:rPr>
                <w:sz w:val="20"/>
              </w:rPr>
            </w:pPr>
          </w:p>
        </w:tc>
      </w:tr>
    </w:tbl>
    <w:p w14:paraId="4E818560" w14:textId="1D0F1635" w:rsidR="009F1B31" w:rsidRDefault="009F1B31" w:rsidP="009F1B31"/>
    <w:p w14:paraId="29653D4D" w14:textId="034F28F6" w:rsidR="008D6AD2" w:rsidRDefault="00302CD4" w:rsidP="009F1B31">
      <w:r>
        <w:t xml:space="preserve">The </w:t>
      </w:r>
      <w:r w:rsidR="00256B0C">
        <w:t xml:space="preserve">CWP measure </w:t>
      </w:r>
      <w:r>
        <w:t xml:space="preserve">offering </w:t>
      </w:r>
      <w:r w:rsidR="00256B0C">
        <w:t xml:space="preserve">is eligible for </w:t>
      </w:r>
      <w:r>
        <w:t xml:space="preserve">buildings of </w:t>
      </w:r>
      <w:r w:rsidR="00256B0C">
        <w:t>all vintages (</w:t>
      </w:r>
      <w:r>
        <w:t>“</w:t>
      </w:r>
      <w:r w:rsidR="00256B0C">
        <w:t>existing/ median</w:t>
      </w:r>
      <w:r w:rsidR="00982096">
        <w:t>”</w:t>
      </w:r>
      <w:r w:rsidR="00256B0C">
        <w:t>,</w:t>
      </w:r>
      <w:r w:rsidR="00982096">
        <w:t xml:space="preserve"> </w:t>
      </w:r>
      <w:r w:rsidR="00256B0C">
        <w:t xml:space="preserve">and </w:t>
      </w:r>
      <w:r>
        <w:t>“</w:t>
      </w:r>
      <w:r w:rsidR="00256B0C">
        <w:t>new</w:t>
      </w:r>
      <w:r>
        <w:t>”</w:t>
      </w:r>
      <w:r w:rsidR="00256B0C">
        <w:t>)</w:t>
      </w:r>
    </w:p>
    <w:p w14:paraId="0DFFA36E" w14:textId="3854129E" w:rsidR="00256B0C" w:rsidRDefault="00192E73" w:rsidP="009F1B31">
      <w:r>
        <w:t xml:space="preserve">The </w:t>
      </w:r>
      <w:r w:rsidR="00256B0C">
        <w:t>CHWP measure</w:t>
      </w:r>
      <w:r w:rsidR="00302CD4">
        <w:t xml:space="preserve"> offering</w:t>
      </w:r>
      <w:r w:rsidR="00256B0C">
        <w:t xml:space="preserve"> is </w:t>
      </w:r>
      <w:r w:rsidR="00982096">
        <w:t xml:space="preserve">ONLY </w:t>
      </w:r>
      <w:r w:rsidR="00256B0C">
        <w:t xml:space="preserve">eligible for </w:t>
      </w:r>
      <w:r w:rsidR="00302CD4">
        <w:t>“</w:t>
      </w:r>
      <w:r w:rsidR="00AB337C">
        <w:t>old</w:t>
      </w:r>
      <w:r w:rsidR="00302CD4">
        <w:t>”</w:t>
      </w:r>
      <w:r w:rsidR="00AB337C">
        <w:t xml:space="preserve"> vintage</w:t>
      </w:r>
      <w:r w:rsidR="00302CD4">
        <w:t xml:space="preserve"> buildings</w:t>
      </w:r>
      <w:r w:rsidR="00982096">
        <w:t xml:space="preserve"> with </w:t>
      </w:r>
      <w:r w:rsidR="00395E7C">
        <w:t>p</w:t>
      </w:r>
      <w:r w:rsidR="00982096">
        <w:t>ro</w:t>
      </w:r>
      <w:r w:rsidR="00395E7C">
        <w:t>o</w:t>
      </w:r>
      <w:r w:rsidR="00982096">
        <w:t>f of verification of existing condition</w:t>
      </w:r>
      <w:r w:rsidR="00A74B0D">
        <w:t xml:space="preserve">. </w:t>
      </w:r>
      <w:r w:rsidR="00AB337C">
        <w:t xml:space="preserve"> </w:t>
      </w:r>
    </w:p>
    <w:p w14:paraId="06AA023E" w14:textId="77777777" w:rsidR="0073564E" w:rsidRDefault="0073564E" w:rsidP="009F1B31"/>
    <w:p w14:paraId="1A3705F3" w14:textId="4BC0985D" w:rsidR="007B6A74" w:rsidRPr="0001609E" w:rsidRDefault="00196649" w:rsidP="002C38D4">
      <w:pPr>
        <w:pStyle w:val="eTRMHeading5"/>
        <w:keepNext/>
        <w:keepLines/>
      </w:pPr>
      <w:r w:rsidRPr="0001609E">
        <w:t>Eligible Climate Zones</w:t>
      </w:r>
    </w:p>
    <w:p w14:paraId="4A9FD22A" w14:textId="7AB66320" w:rsidR="004B6780" w:rsidRPr="0001609E" w:rsidRDefault="004B6780" w:rsidP="002C38D4">
      <w:pPr>
        <w:keepNext/>
        <w:keepLines/>
      </w:pPr>
      <w:r w:rsidRPr="0001609E">
        <w:t xml:space="preserve">This measure is applicable </w:t>
      </w:r>
      <w:r w:rsidR="00273571" w:rsidRPr="0001609E">
        <w:t>in</w:t>
      </w:r>
      <w:r w:rsidRPr="0001609E">
        <w:t xml:space="preserve"> </w:t>
      </w:r>
      <w:r w:rsidR="00890F77">
        <w:t>all</w:t>
      </w:r>
      <w:r w:rsidRPr="0001609E">
        <w:t xml:space="preserve"> California climate zones.</w:t>
      </w:r>
    </w:p>
    <w:p w14:paraId="34FF761D" w14:textId="77777777" w:rsidR="006C41AD" w:rsidRPr="0001609E" w:rsidRDefault="006C41AD" w:rsidP="004B06E3"/>
    <w:p w14:paraId="47630D60" w14:textId="77777777" w:rsidR="007D230B" w:rsidRPr="0001609E" w:rsidRDefault="007D230B" w:rsidP="0016415E">
      <w:pPr>
        <w:pStyle w:val="eTRMHeading3"/>
      </w:pPr>
      <w:bookmarkStart w:id="30" w:name="_Toc486490853"/>
      <w:bookmarkStart w:id="31" w:name="_Toc486580924"/>
      <w:bookmarkStart w:id="32" w:name="_Toc12448782"/>
      <w:r w:rsidRPr="0001609E">
        <w:t>Program Exclusions</w:t>
      </w:r>
      <w:bookmarkEnd w:id="30"/>
      <w:bookmarkEnd w:id="31"/>
      <w:bookmarkEnd w:id="32"/>
      <w:r w:rsidRPr="0001609E">
        <w:t xml:space="preserve"> </w:t>
      </w:r>
    </w:p>
    <w:p w14:paraId="7C84AFD8" w14:textId="1AB44516" w:rsidR="00B07D4B" w:rsidRPr="00057A15" w:rsidRDefault="00B07D4B" w:rsidP="00B07D4B">
      <w:pPr>
        <w:rPr>
          <w:rFonts w:cstheme="minorHAnsi"/>
        </w:rPr>
      </w:pPr>
      <w:r>
        <w:rPr>
          <w:rFonts w:cstheme="minorHAnsi"/>
        </w:rPr>
        <w:t>This m</w:t>
      </w:r>
      <w:r w:rsidRPr="00057A15">
        <w:rPr>
          <w:rFonts w:cstheme="minorHAnsi"/>
        </w:rPr>
        <w:t>easure excludes central plant equipment under any type of plant optimization and/or retro-commissioning at both the central plant and/or system HVAC levels; and/or central plants supporting “process” load;</w:t>
      </w:r>
      <w:r w:rsidR="00AE00CA">
        <w:rPr>
          <w:rFonts w:cstheme="minorHAnsi"/>
        </w:rPr>
        <w:t xml:space="preserve"> and/or industrial applications serving non-HVAC </w:t>
      </w:r>
      <w:r w:rsidR="00666C9B">
        <w:rPr>
          <w:rFonts w:cstheme="minorHAnsi"/>
        </w:rPr>
        <w:t>“</w:t>
      </w:r>
      <w:r w:rsidR="00AE00CA">
        <w:rPr>
          <w:rFonts w:cstheme="minorHAnsi"/>
        </w:rPr>
        <w:t>space comfort</w:t>
      </w:r>
      <w:r w:rsidR="00666C9B">
        <w:rPr>
          <w:rFonts w:cstheme="minorHAnsi"/>
        </w:rPr>
        <w:t>”</w:t>
      </w:r>
      <w:r w:rsidR="00AE00CA">
        <w:rPr>
          <w:rFonts w:cstheme="minorHAnsi"/>
        </w:rPr>
        <w:t xml:space="preserve"> loads;</w:t>
      </w:r>
      <w:r w:rsidRPr="00057A15">
        <w:rPr>
          <w:rFonts w:cstheme="minorHAnsi"/>
        </w:rPr>
        <w:t xml:space="preserve"> and/or central plant operating with thermal energy storage. </w:t>
      </w:r>
      <w:r>
        <w:rPr>
          <w:rFonts w:cstheme="minorHAnsi"/>
        </w:rPr>
        <w:t>All non</w:t>
      </w:r>
      <w:r w:rsidRPr="00057A15">
        <w:rPr>
          <w:rFonts w:cstheme="minorHAnsi"/>
        </w:rPr>
        <w:t xml:space="preserve">-standard central plant applications shall be incentivized under </w:t>
      </w:r>
      <w:r>
        <w:rPr>
          <w:rFonts w:cstheme="minorHAnsi"/>
        </w:rPr>
        <w:t>c</w:t>
      </w:r>
      <w:r w:rsidRPr="00057A15">
        <w:rPr>
          <w:rFonts w:cstheme="minorHAnsi"/>
        </w:rPr>
        <w:t xml:space="preserve">ustom programs. </w:t>
      </w:r>
    </w:p>
    <w:p w14:paraId="69AE2FFD" w14:textId="77777777" w:rsidR="0047771D" w:rsidRPr="0001609E" w:rsidRDefault="0047771D" w:rsidP="004B06E3"/>
    <w:p w14:paraId="655E299F" w14:textId="77777777" w:rsidR="007D230B" w:rsidRPr="0001609E" w:rsidRDefault="007D230B" w:rsidP="0016415E">
      <w:pPr>
        <w:pStyle w:val="eTRMHeading3"/>
      </w:pPr>
      <w:bookmarkStart w:id="33" w:name="_Toc486490854"/>
      <w:bookmarkStart w:id="34" w:name="_Toc486580925"/>
      <w:bookmarkStart w:id="35" w:name="_Toc12448783"/>
      <w:r w:rsidRPr="0001609E">
        <w:t>Data Collection Requirements</w:t>
      </w:r>
      <w:bookmarkEnd w:id="33"/>
      <w:bookmarkEnd w:id="34"/>
      <w:bookmarkEnd w:id="35"/>
      <w:r w:rsidRPr="0001609E">
        <w:t xml:space="preserve"> </w:t>
      </w:r>
    </w:p>
    <w:p w14:paraId="587DD5D8" w14:textId="21F42D1D" w:rsidR="00257D08" w:rsidRDefault="00552143" w:rsidP="00257D08">
      <w:r>
        <w:t>T</w:t>
      </w:r>
      <w:r w:rsidR="009F1B31">
        <w:t xml:space="preserve">he </w:t>
      </w:r>
      <w:r w:rsidR="00257D08">
        <w:t xml:space="preserve">chilled water pumping system </w:t>
      </w:r>
      <w:r w:rsidR="00302CD4">
        <w:t xml:space="preserve">effective </w:t>
      </w:r>
      <w:r w:rsidR="009F1B31">
        <w:t>useful life (</w:t>
      </w:r>
      <w:r w:rsidR="00257D08">
        <w:t>EUL</w:t>
      </w:r>
      <w:r w:rsidR="009F1B31">
        <w:t>)</w:t>
      </w:r>
      <w:r w:rsidR="00257D08">
        <w:t xml:space="preserve"> is approaching the </w:t>
      </w:r>
      <w:r w:rsidR="00302CD4">
        <w:t xml:space="preserve">number of </w:t>
      </w:r>
      <w:r w:rsidR="00257D08">
        <w:t xml:space="preserve">years since variable flow on chilled water pumps </w:t>
      </w:r>
      <w:r w:rsidR="00302CD4">
        <w:t>became</w:t>
      </w:r>
      <w:r w:rsidR="00257D08">
        <w:t xml:space="preserve"> a code requirement. Hence,</w:t>
      </w:r>
      <w:r w:rsidR="00302CD4">
        <w:t xml:space="preserve"> the</w:t>
      </w:r>
      <w:r w:rsidR="00257D08">
        <w:t xml:space="preserve"> CHWP </w:t>
      </w:r>
      <w:r w:rsidR="006B18EF">
        <w:t xml:space="preserve">variable </w:t>
      </w:r>
      <w:r w:rsidR="00A5765D">
        <w:t>speed</w:t>
      </w:r>
      <w:r w:rsidR="006B18EF">
        <w:t xml:space="preserve"> drive (</w:t>
      </w:r>
      <w:r w:rsidR="00A5765D">
        <w:t>VSD</w:t>
      </w:r>
      <w:r w:rsidR="006B18EF">
        <w:t>)</w:t>
      </w:r>
      <w:r w:rsidR="00257D08">
        <w:t xml:space="preserve"> measure </w:t>
      </w:r>
      <w:r w:rsidR="0038465D">
        <w:t>may</w:t>
      </w:r>
      <w:r w:rsidR="009F1B31">
        <w:t xml:space="preserve"> warrant</w:t>
      </w:r>
      <w:r w:rsidR="00257D08">
        <w:t xml:space="preserve"> an industry standard practice</w:t>
      </w:r>
      <w:r w:rsidR="009F1B31">
        <w:t xml:space="preserve"> (ISP)</w:t>
      </w:r>
      <w:r w:rsidR="00257D08">
        <w:t xml:space="preserve"> evaluation. </w:t>
      </w:r>
    </w:p>
    <w:p w14:paraId="4AB314D3" w14:textId="77777777" w:rsidR="004226FC" w:rsidRPr="0001609E" w:rsidRDefault="004226FC" w:rsidP="004B06E3"/>
    <w:p w14:paraId="4891FCAB" w14:textId="77777777" w:rsidR="007D230B" w:rsidRPr="0001609E" w:rsidRDefault="007D230B" w:rsidP="0016415E">
      <w:pPr>
        <w:pStyle w:val="eTRMHeading3"/>
      </w:pPr>
      <w:bookmarkStart w:id="36" w:name="_Toc486490855"/>
      <w:bookmarkStart w:id="37" w:name="_Toc486580926"/>
      <w:bookmarkStart w:id="38" w:name="_Toc12448784"/>
      <w:r w:rsidRPr="0001609E">
        <w:t>Use Category</w:t>
      </w:r>
      <w:bookmarkEnd w:id="36"/>
      <w:bookmarkEnd w:id="37"/>
      <w:bookmarkEnd w:id="38"/>
    </w:p>
    <w:p w14:paraId="13382FF9" w14:textId="4E0C7A23" w:rsidR="004142EF" w:rsidRPr="0001609E" w:rsidRDefault="00273571" w:rsidP="004B06E3">
      <w:r w:rsidRPr="0001609E">
        <w:t>HVAC</w:t>
      </w:r>
    </w:p>
    <w:p w14:paraId="4FB6641C" w14:textId="77777777" w:rsidR="00273571" w:rsidRPr="0001609E" w:rsidRDefault="00273571" w:rsidP="004B06E3"/>
    <w:p w14:paraId="4B62D367" w14:textId="370A839E" w:rsidR="007D230B" w:rsidRPr="0001609E" w:rsidRDefault="007D230B" w:rsidP="0016415E">
      <w:pPr>
        <w:pStyle w:val="eTRMHeading3"/>
      </w:pPr>
      <w:bookmarkStart w:id="39" w:name="_Toc486490857"/>
      <w:bookmarkStart w:id="40" w:name="_Toc486580928"/>
      <w:bookmarkStart w:id="41" w:name="_Toc12448785"/>
      <w:r w:rsidRPr="0001609E">
        <w:lastRenderedPageBreak/>
        <w:t>Electric Savings</w:t>
      </w:r>
      <w:r w:rsidR="00245AFF" w:rsidRPr="0001609E">
        <w:t xml:space="preserve"> (</w:t>
      </w:r>
      <w:r w:rsidR="00E14349" w:rsidRPr="00E647AA">
        <w:t>k</w:t>
      </w:r>
      <w:r w:rsidR="00245AFF" w:rsidRPr="00E647AA">
        <w:t>Wh</w:t>
      </w:r>
      <w:r w:rsidR="00245AFF" w:rsidRPr="0001609E">
        <w:t>)</w:t>
      </w:r>
      <w:bookmarkEnd w:id="39"/>
      <w:bookmarkEnd w:id="40"/>
      <w:bookmarkEnd w:id="41"/>
    </w:p>
    <w:p w14:paraId="4E7FAE11" w14:textId="252E26F9" w:rsidR="0007796B" w:rsidRDefault="00D02BEE" w:rsidP="0007796B">
      <w:r>
        <w:rPr>
          <w:rFonts w:cstheme="minorHAnsi"/>
        </w:rPr>
        <w:t>The unit energy savings (UES) of this measure</w:t>
      </w:r>
      <w:r w:rsidR="00257D08" w:rsidRPr="0033544A">
        <w:rPr>
          <w:rFonts w:cstheme="minorHAnsi"/>
        </w:rPr>
        <w:t xml:space="preserve"> </w:t>
      </w:r>
      <w:r>
        <w:rPr>
          <w:rFonts w:cstheme="minorHAnsi"/>
        </w:rPr>
        <w:t xml:space="preserve">were derived from </w:t>
      </w:r>
      <w:r w:rsidR="00257D08">
        <w:rPr>
          <w:rFonts w:cstheme="minorHAnsi"/>
        </w:rPr>
        <w:t xml:space="preserve">building </w:t>
      </w:r>
      <w:r>
        <w:rPr>
          <w:rFonts w:cstheme="minorHAnsi"/>
        </w:rPr>
        <w:t xml:space="preserve">energy use </w:t>
      </w:r>
      <w:r w:rsidR="00257D08">
        <w:rPr>
          <w:rFonts w:cstheme="minorHAnsi"/>
        </w:rPr>
        <w:t xml:space="preserve">energy simulations of </w:t>
      </w:r>
      <w:r w:rsidR="00257D08" w:rsidRPr="0033544A">
        <w:rPr>
          <w:rFonts w:cstheme="minorHAnsi"/>
        </w:rPr>
        <w:t xml:space="preserve">variable </w:t>
      </w:r>
      <w:r w:rsidR="00A5765D">
        <w:rPr>
          <w:rFonts w:cstheme="minorHAnsi"/>
        </w:rPr>
        <w:t>speed</w:t>
      </w:r>
      <w:r w:rsidR="00A5765D" w:rsidRPr="0033544A">
        <w:rPr>
          <w:rFonts w:cstheme="minorHAnsi"/>
        </w:rPr>
        <w:t xml:space="preserve"> </w:t>
      </w:r>
      <w:r w:rsidR="00257D08" w:rsidRPr="0033544A">
        <w:rPr>
          <w:rFonts w:cstheme="minorHAnsi"/>
        </w:rPr>
        <w:t>drives (</w:t>
      </w:r>
      <w:r w:rsidR="00A5765D">
        <w:rPr>
          <w:rFonts w:cstheme="minorHAnsi"/>
        </w:rPr>
        <w:t>VSDs</w:t>
      </w:r>
      <w:r w:rsidR="00257D08" w:rsidRPr="0033544A">
        <w:rPr>
          <w:rFonts w:cstheme="minorHAnsi"/>
        </w:rPr>
        <w:t xml:space="preserve">) </w:t>
      </w:r>
      <w:r>
        <w:rPr>
          <w:rFonts w:cstheme="minorHAnsi"/>
        </w:rPr>
        <w:t>that serve</w:t>
      </w:r>
      <w:r w:rsidR="00257D08" w:rsidRPr="0033544A">
        <w:rPr>
          <w:rFonts w:cstheme="minorHAnsi"/>
        </w:rPr>
        <w:t xml:space="preserve"> central plant chilled water </w:t>
      </w:r>
      <w:r w:rsidR="00257D08">
        <w:rPr>
          <w:rFonts w:cstheme="minorHAnsi"/>
        </w:rPr>
        <w:t xml:space="preserve">(distribution) and condenser water pumps. </w:t>
      </w:r>
      <w:r w:rsidR="0007796B">
        <w:rPr>
          <w:rFonts w:cstheme="minorHAnsi"/>
        </w:rPr>
        <w:t xml:space="preserve">MASControl3, </w:t>
      </w:r>
      <w:r w:rsidR="00077A63">
        <w:t>the</w:t>
      </w:r>
      <w:r w:rsidR="0007796B" w:rsidRPr="00262245">
        <w:rPr>
          <w:rFonts w:cstheme="minorHAnsi"/>
        </w:rPr>
        <w:t xml:space="preserve"> analysis software</w:t>
      </w:r>
      <w:r w:rsidR="0007796B">
        <w:rPr>
          <w:rFonts w:cstheme="minorHAnsi"/>
        </w:rPr>
        <w:t xml:space="preserve"> for</w:t>
      </w:r>
      <w:r w:rsidR="00302CD4">
        <w:rPr>
          <w:rFonts w:cstheme="minorHAnsi"/>
        </w:rPr>
        <w:t xml:space="preserve"> the 2020 version of the Database of Energy Efficient Resources (</w:t>
      </w:r>
      <w:r w:rsidR="0007796B">
        <w:rPr>
          <w:rFonts w:cstheme="minorHAnsi"/>
        </w:rPr>
        <w:t>DEER</w:t>
      </w:r>
      <w:r w:rsidR="00302CD4">
        <w:rPr>
          <w:rFonts w:cstheme="minorHAnsi"/>
        </w:rPr>
        <w:t xml:space="preserve">2020) was </w:t>
      </w:r>
      <w:r w:rsidR="0007796B">
        <w:rPr>
          <w:rFonts w:cstheme="minorHAnsi"/>
        </w:rPr>
        <w:t xml:space="preserve">used to generate </w:t>
      </w:r>
      <w:r w:rsidR="00C1258D">
        <w:rPr>
          <w:rFonts w:cstheme="minorHAnsi"/>
        </w:rPr>
        <w:t>UES values</w:t>
      </w:r>
      <w:r w:rsidR="0007796B">
        <w:rPr>
          <w:rFonts w:cstheme="minorHAnsi"/>
        </w:rPr>
        <w:t xml:space="preserve"> for </w:t>
      </w:r>
      <w:r w:rsidR="00077A63">
        <w:rPr>
          <w:rFonts w:cstheme="minorHAnsi"/>
        </w:rPr>
        <w:t xml:space="preserve">all </w:t>
      </w:r>
      <w:r w:rsidR="0007796B">
        <w:rPr>
          <w:rFonts w:cstheme="minorHAnsi"/>
        </w:rPr>
        <w:t>measure</w:t>
      </w:r>
      <w:r w:rsidR="00077A63">
        <w:rPr>
          <w:rFonts w:cstheme="minorHAnsi"/>
        </w:rPr>
        <w:t xml:space="preserve"> offerings</w:t>
      </w:r>
      <w:r w:rsidR="0007796B">
        <w:rPr>
          <w:rFonts w:cstheme="minorHAnsi"/>
        </w:rPr>
        <w:t>.</w:t>
      </w:r>
      <w:r w:rsidR="00884E12" w:rsidRPr="00C56302">
        <w:rPr>
          <w:rStyle w:val="FootnoteReference"/>
        </w:rPr>
        <w:footnoteReference w:id="6"/>
      </w:r>
      <w:r w:rsidR="0007796B">
        <w:rPr>
          <w:rFonts w:cstheme="minorHAnsi"/>
        </w:rPr>
        <w:t xml:space="preserve"> </w:t>
      </w:r>
      <w:r w:rsidR="0007796B">
        <w:t xml:space="preserve">MASControl3 uses the </w:t>
      </w:r>
      <w:r w:rsidR="0007796B" w:rsidRPr="00D64EDD">
        <w:t>DOE</w:t>
      </w:r>
      <w:r w:rsidR="0007796B">
        <w:noBreakHyphen/>
      </w:r>
      <w:r w:rsidR="0007796B" w:rsidRPr="00D64EDD">
        <w:t>2.</w:t>
      </w:r>
      <w:r w:rsidR="0007796B">
        <w:t>3</w:t>
      </w:r>
      <w:r w:rsidR="008651D1">
        <w:t>/ eQuest 3.65</w:t>
      </w:r>
      <w:r w:rsidR="0007796B">
        <w:t xml:space="preserve"> simulation engine and generates the energy usage and peak </w:t>
      </w:r>
      <w:r w:rsidR="00302CD4">
        <w:t>demand reduction</w:t>
      </w:r>
      <w:r w:rsidR="0007796B">
        <w:t xml:space="preserve">. </w:t>
      </w:r>
    </w:p>
    <w:p w14:paraId="0F2A93F5" w14:textId="7BA62FA8" w:rsidR="00077A63" w:rsidRDefault="00077A63" w:rsidP="0038465D">
      <w:pPr>
        <w:pStyle w:val="eTRMHeading4"/>
      </w:pPr>
      <w:r>
        <w:t>Baseline and Measure Case Energy Use Simulations</w:t>
      </w:r>
    </w:p>
    <w:p w14:paraId="74C9352B" w14:textId="6C266A32" w:rsidR="00777C5F" w:rsidRDefault="00077A63" w:rsidP="0038465D">
      <w:r w:rsidRPr="0038465D">
        <w:rPr>
          <w:b/>
          <w:bCs/>
        </w:rPr>
        <w:t>Measure Definition.</w:t>
      </w:r>
      <w:r>
        <w:t xml:space="preserve"> </w:t>
      </w:r>
      <w:r w:rsidR="00C36666">
        <w:t xml:space="preserve">DEER </w:t>
      </w:r>
      <w:r w:rsidR="00777C5F">
        <w:t xml:space="preserve">does not have a measure for variable flow </w:t>
      </w:r>
      <w:r>
        <w:rPr>
          <w:rFonts w:cstheme="minorHAnsi"/>
          <w:szCs w:val="20"/>
        </w:rPr>
        <w:t>c</w:t>
      </w:r>
      <w:r>
        <w:rPr>
          <w:rFonts w:cs="Arial"/>
          <w:szCs w:val="20"/>
        </w:rPr>
        <w:t>hilled water pump (CHWP) or a condenser water pump (CWP)</w:t>
      </w:r>
      <w:r w:rsidR="00777C5F">
        <w:t xml:space="preserve">. Hence, an existing measure </w:t>
      </w:r>
      <w:r w:rsidR="0024072F">
        <w:t>“</w:t>
      </w:r>
      <w:r w:rsidR="0024072F" w:rsidRPr="0024072F">
        <w:t>WtrCldCentChlr-Cpnv-0.</w:t>
      </w:r>
      <w:r w:rsidR="0024072F" w:rsidRPr="000B32D5">
        <w:t xml:space="preserve">748kwpton” </w:t>
      </w:r>
      <w:r>
        <w:t>was</w:t>
      </w:r>
      <w:r w:rsidRPr="000B32D5">
        <w:t xml:space="preserve"> </w:t>
      </w:r>
      <w:r w:rsidR="000B32D5" w:rsidRPr="000B32D5">
        <w:t>replicated and modified a</w:t>
      </w:r>
      <w:r w:rsidR="000B32D5">
        <w:t xml:space="preserve">s follows: </w:t>
      </w:r>
    </w:p>
    <w:p w14:paraId="0540C936" w14:textId="4BD8AC88" w:rsidR="00D15CB7" w:rsidRDefault="00D15CB7" w:rsidP="0038465D">
      <w:r>
        <w:t xml:space="preserve">The existing measure in </w:t>
      </w:r>
      <w:r w:rsidR="00C36666">
        <w:t>DEER</w:t>
      </w:r>
      <w:r w:rsidR="00077A63">
        <w:t xml:space="preserve"> </w:t>
      </w:r>
      <w:r w:rsidR="00EC136B">
        <w:t>has chiller ef</w:t>
      </w:r>
      <w:r w:rsidR="002C7D39">
        <w:t xml:space="preserve">ficiency </w:t>
      </w:r>
      <w:r w:rsidR="00EC136B">
        <w:t xml:space="preserve">at 0.748 kW/ton for all capacities of chillers. This </w:t>
      </w:r>
      <w:r w:rsidR="002C7D39">
        <w:t>efficiency</w:t>
      </w:r>
      <w:r w:rsidR="00EC136B">
        <w:t xml:space="preserve"> is less than the Title 24 </w:t>
      </w:r>
      <w:r w:rsidR="003D2FE2">
        <w:t xml:space="preserve">stipulated values. Hence, the efficiency of the chillers </w:t>
      </w:r>
      <w:r w:rsidR="00077A63">
        <w:t xml:space="preserve">was </w:t>
      </w:r>
      <w:r w:rsidR="003D2FE2">
        <w:t xml:space="preserve">revised </w:t>
      </w:r>
      <w:r w:rsidR="00D55690">
        <w:t>based on</w:t>
      </w:r>
      <w:r w:rsidR="007E1F7E">
        <w:t xml:space="preserve"> </w:t>
      </w:r>
      <w:r w:rsidR="00687EE0">
        <w:t xml:space="preserve">requirements specified in Table 112-D of </w:t>
      </w:r>
      <w:r w:rsidR="007E1F7E">
        <w:t>Title 24 2005</w:t>
      </w:r>
      <w:r w:rsidR="00687EE0">
        <w:t xml:space="preserve">. </w:t>
      </w:r>
      <w:r w:rsidR="00EE2F91">
        <w:t>It is assumed that t</w:t>
      </w:r>
      <w:r w:rsidR="00734BF9">
        <w:t xml:space="preserve">his efficiency is representative of existing chiller efficiency. </w:t>
      </w:r>
    </w:p>
    <w:p w14:paraId="7CE532C5" w14:textId="5074581C" w:rsidR="00576EE5" w:rsidRDefault="005E4DF7" w:rsidP="0038465D">
      <w:r>
        <w:t>T</w:t>
      </w:r>
      <w:r w:rsidR="000F4CA7">
        <w:t xml:space="preserve">he </w:t>
      </w:r>
      <w:r w:rsidR="0071207B">
        <w:t xml:space="preserve">existing measure </w:t>
      </w:r>
      <w:r w:rsidR="008E312F">
        <w:t xml:space="preserve">in </w:t>
      </w:r>
      <w:r w:rsidR="00C36666">
        <w:t xml:space="preserve">DEER </w:t>
      </w:r>
      <w:r w:rsidR="0071207B">
        <w:t xml:space="preserve">has </w:t>
      </w:r>
      <w:r w:rsidR="00982096">
        <w:t xml:space="preserve">already </w:t>
      </w:r>
      <w:r w:rsidR="0071207B">
        <w:t>variable flow controls on the secondary chilled water loop</w:t>
      </w:r>
      <w:r>
        <w:t xml:space="preserve"> for the following building types: </w:t>
      </w:r>
      <w:r w:rsidRPr="0038465D">
        <w:t>Education – Community College (ECC)</w:t>
      </w:r>
      <w:r>
        <w:t xml:space="preserve">, </w:t>
      </w:r>
      <w:r w:rsidRPr="0038465D">
        <w:t>Education – University (EUn)</w:t>
      </w:r>
      <w:r>
        <w:t xml:space="preserve">, </w:t>
      </w:r>
      <w:r w:rsidRPr="0038465D">
        <w:t xml:space="preserve">Health/Medical – Hospital (Hsp), </w:t>
      </w:r>
      <w:r>
        <w:t xml:space="preserve">and </w:t>
      </w:r>
      <w:r w:rsidRPr="0038465D">
        <w:t>Lodging – Hotel (Htl)</w:t>
      </w:r>
      <w:r w:rsidR="0071207B">
        <w:t>.</w:t>
      </w:r>
      <w:r w:rsidR="005D797B">
        <w:t xml:space="preserve"> However, </w:t>
      </w:r>
      <w:r w:rsidR="008E312F">
        <w:t>these controls are revised to constant speed controls</w:t>
      </w:r>
      <w:r w:rsidR="005D797B">
        <w:t xml:space="preserve"> for</w:t>
      </w:r>
      <w:r w:rsidR="00A415DD">
        <w:t xml:space="preserve"> the evaluation of savings potentials. </w:t>
      </w:r>
    </w:p>
    <w:p w14:paraId="3904CF63" w14:textId="07FA79C6" w:rsidR="00043809" w:rsidRPr="00043809" w:rsidRDefault="00043809" w:rsidP="0038465D">
      <w:r w:rsidRPr="0038465D">
        <w:rPr>
          <w:b/>
          <w:bCs/>
        </w:rPr>
        <w:t>Vintages</w:t>
      </w:r>
      <w:r w:rsidR="00077A63" w:rsidRPr="0038465D">
        <w:rPr>
          <w:b/>
          <w:bCs/>
        </w:rPr>
        <w:t>.</w:t>
      </w:r>
      <w:r w:rsidRPr="00043809">
        <w:t xml:space="preserve"> For </w:t>
      </w:r>
      <w:r w:rsidR="005E4DF7">
        <w:t xml:space="preserve">the </w:t>
      </w:r>
      <w:r w:rsidRPr="00043809">
        <w:t xml:space="preserve">CWP </w:t>
      </w:r>
      <w:r w:rsidR="00A5765D">
        <w:t>VSD</w:t>
      </w:r>
      <w:r w:rsidR="00A5765D" w:rsidRPr="00043809">
        <w:t xml:space="preserve"> </w:t>
      </w:r>
      <w:r w:rsidRPr="00043809">
        <w:t>measure</w:t>
      </w:r>
      <w:r w:rsidR="005E4DF7">
        <w:t xml:space="preserve"> offering</w:t>
      </w:r>
      <w:r w:rsidRPr="00043809">
        <w:t xml:space="preserve">, the models corresponding to vintages </w:t>
      </w:r>
      <w:r w:rsidR="00077A63">
        <w:t>listed below were</w:t>
      </w:r>
      <w:r w:rsidR="00077A63" w:rsidRPr="00043809">
        <w:t xml:space="preserve"> </w:t>
      </w:r>
      <w:r w:rsidRPr="00043809">
        <w:t xml:space="preserve">considered. For CHWP </w:t>
      </w:r>
      <w:r w:rsidR="00A5765D">
        <w:t>VSD</w:t>
      </w:r>
      <w:r w:rsidR="00A5765D" w:rsidRPr="00043809">
        <w:t xml:space="preserve"> </w:t>
      </w:r>
      <w:r w:rsidRPr="00043809">
        <w:t xml:space="preserve">measure, only the vintages 2003 and 1996 </w:t>
      </w:r>
      <w:r w:rsidR="00077A63">
        <w:t>were</w:t>
      </w:r>
      <w:r w:rsidR="00077A63" w:rsidRPr="00043809">
        <w:t xml:space="preserve"> </w:t>
      </w:r>
      <w:r w:rsidRPr="00043809">
        <w:t xml:space="preserve">considered since this measure is not eligible for vintages after 2005. </w:t>
      </w:r>
      <w:r w:rsidR="00514D05" w:rsidRPr="00043809">
        <w:t>For building vintages before 1993, the condense</w:t>
      </w:r>
      <w:r w:rsidR="00514D05">
        <w:t>r and chilled</w:t>
      </w:r>
      <w:r w:rsidR="00514D05" w:rsidRPr="00043809">
        <w:t xml:space="preserve"> water pumping system </w:t>
      </w:r>
      <w:r w:rsidR="00514D05">
        <w:t>are</w:t>
      </w:r>
      <w:r w:rsidR="00514D05" w:rsidRPr="00043809">
        <w:t xml:space="preserve"> past its effective useful life and assumed to have been replaced with newer systems.</w:t>
      </w:r>
    </w:p>
    <w:p w14:paraId="4F66D1B1" w14:textId="6BD10F1D" w:rsidR="00043809" w:rsidRPr="00043809" w:rsidRDefault="00043809" w:rsidP="0038465D">
      <w:pPr>
        <w:pStyle w:val="eTRMBulletedText"/>
      </w:pPr>
      <w:r w:rsidRPr="00043809">
        <w:t>1993 – 2001 (1996)</w:t>
      </w:r>
    </w:p>
    <w:p w14:paraId="368761BF" w14:textId="4E3DB2C9" w:rsidR="00043809" w:rsidRPr="00043809" w:rsidRDefault="00043809" w:rsidP="0038465D">
      <w:pPr>
        <w:pStyle w:val="eTRMBulletedText"/>
      </w:pPr>
      <w:r w:rsidRPr="00043809">
        <w:t>2001 – 2005 (2003)</w:t>
      </w:r>
    </w:p>
    <w:p w14:paraId="02BDAC30" w14:textId="3000AE8C" w:rsidR="00043809" w:rsidRPr="00043809" w:rsidRDefault="00043809" w:rsidP="0038465D">
      <w:pPr>
        <w:pStyle w:val="eTRMBulletedText"/>
      </w:pPr>
      <w:r w:rsidRPr="00043809">
        <w:t>2005 – 2009 (2007)</w:t>
      </w:r>
    </w:p>
    <w:p w14:paraId="41837212" w14:textId="25350F6C" w:rsidR="00043809" w:rsidRPr="00043809" w:rsidRDefault="00043809" w:rsidP="0038465D">
      <w:pPr>
        <w:pStyle w:val="eTRMBulletedText"/>
      </w:pPr>
      <w:r w:rsidRPr="00043809">
        <w:t>2009 – 2013 (2011)</w:t>
      </w:r>
    </w:p>
    <w:p w14:paraId="6ABC0510" w14:textId="47DF69C6" w:rsidR="00043809" w:rsidRDefault="00043809" w:rsidP="0038465D">
      <w:pPr>
        <w:pStyle w:val="eTRMBulletedText"/>
      </w:pPr>
      <w:r w:rsidRPr="00043809">
        <w:t>201</w:t>
      </w:r>
      <w:r w:rsidR="00552606">
        <w:t>4</w:t>
      </w:r>
      <w:r w:rsidRPr="00043809">
        <w:t xml:space="preserve"> – 201</w:t>
      </w:r>
      <w:r w:rsidR="00552606">
        <w:t>6</w:t>
      </w:r>
      <w:r w:rsidRPr="00043809">
        <w:t xml:space="preserve"> (201</w:t>
      </w:r>
      <w:r w:rsidR="00552606">
        <w:t>5</w:t>
      </w:r>
      <w:r w:rsidRPr="00043809">
        <w:t>)</w:t>
      </w:r>
    </w:p>
    <w:p w14:paraId="60E9A6B9" w14:textId="23B7F6AF" w:rsidR="006837D6" w:rsidRDefault="006837D6" w:rsidP="0038465D">
      <w:pPr>
        <w:pStyle w:val="eTRMBulletedText"/>
      </w:pPr>
      <w:r>
        <w:t>2017 - 2019 (2017)</w:t>
      </w:r>
    </w:p>
    <w:p w14:paraId="637F69B2" w14:textId="2F9F5A0A" w:rsidR="00514D05" w:rsidRDefault="00514D05" w:rsidP="0038465D">
      <w:pPr>
        <w:pStyle w:val="eTRMBulletedText"/>
      </w:pPr>
      <w:r>
        <w:t>After 2019 (2020)</w:t>
      </w:r>
    </w:p>
    <w:p w14:paraId="74CE6687" w14:textId="77777777" w:rsidR="00302CD4" w:rsidRDefault="00302CD4" w:rsidP="00302CD4"/>
    <w:p w14:paraId="0F4E0A5A" w14:textId="37132710" w:rsidR="00B24819" w:rsidRDefault="00B24819" w:rsidP="0038465D">
      <w:r>
        <w:t xml:space="preserve">The </w:t>
      </w:r>
      <w:r w:rsidR="008651D1">
        <w:t>following</w:t>
      </w:r>
      <w:r>
        <w:t xml:space="preserve"> table summarizes the </w:t>
      </w:r>
      <w:r w:rsidR="008651D1">
        <w:t xml:space="preserve">eQuest </w:t>
      </w:r>
      <w:r w:rsidR="00833F16">
        <w:t>keywords</w:t>
      </w:r>
      <w:r w:rsidR="00F3020B">
        <w:t xml:space="preserve"> </w:t>
      </w:r>
      <w:r w:rsidR="00D5169A">
        <w:t xml:space="preserve">used for the baseline and measure case. </w:t>
      </w:r>
    </w:p>
    <w:p w14:paraId="2C9C4BA2" w14:textId="030E62FE" w:rsidR="00F3020B" w:rsidRPr="00F3020B" w:rsidRDefault="00F3020B" w:rsidP="00F3020B">
      <w:pPr>
        <w:rPr>
          <w:b/>
        </w:rPr>
      </w:pPr>
      <w:r w:rsidRPr="00F3020B">
        <w:rPr>
          <w:rFonts w:cstheme="minorHAnsi"/>
          <w:b/>
          <w:szCs w:val="22"/>
        </w:rPr>
        <w:t>eQUEST Keyword Modifications</w:t>
      </w:r>
    </w:p>
    <w:tbl>
      <w:tblPr>
        <w:tblStyle w:val="TableGrid1"/>
        <w:tblW w:w="4658"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115" w:type="dxa"/>
          <w:right w:w="115" w:type="dxa"/>
        </w:tblCellMar>
        <w:tblLook w:val="01E0" w:firstRow="1" w:lastRow="1" w:firstColumn="1" w:lastColumn="1" w:noHBand="0" w:noVBand="0"/>
      </w:tblPr>
      <w:tblGrid>
        <w:gridCol w:w="2023"/>
        <w:gridCol w:w="2463"/>
        <w:gridCol w:w="1989"/>
        <w:gridCol w:w="2235"/>
      </w:tblGrid>
      <w:tr w:rsidR="008651D1" w:rsidRPr="00ED1899" w14:paraId="4B31A71D" w14:textId="77777777" w:rsidTr="00154DC1">
        <w:trPr>
          <w:tblHeader/>
        </w:trPr>
        <w:tc>
          <w:tcPr>
            <w:tcW w:w="1161" w:type="pct"/>
            <w:shd w:val="clear" w:color="auto" w:fill="F2F2F2" w:themeFill="background1" w:themeFillShade="F2"/>
            <w:vAlign w:val="bottom"/>
          </w:tcPr>
          <w:p w14:paraId="617B43A9" w14:textId="77777777" w:rsidR="008651D1" w:rsidRPr="00ED1899" w:rsidRDefault="008651D1" w:rsidP="00154DC1">
            <w:pPr>
              <w:spacing w:before="0" w:after="0" w:line="240" w:lineRule="auto"/>
              <w:jc w:val="center"/>
              <w:rPr>
                <w:rFonts w:cstheme="minorHAnsi"/>
                <w:b/>
                <w:sz w:val="20"/>
              </w:rPr>
            </w:pPr>
            <w:r w:rsidRPr="00ED1899">
              <w:rPr>
                <w:rFonts w:cstheme="minorHAnsi"/>
                <w:b/>
                <w:sz w:val="20"/>
              </w:rPr>
              <w:t>Vintage(s)</w:t>
            </w:r>
          </w:p>
        </w:tc>
        <w:tc>
          <w:tcPr>
            <w:tcW w:w="1414" w:type="pct"/>
            <w:shd w:val="clear" w:color="auto" w:fill="F2F2F2" w:themeFill="background1" w:themeFillShade="F2"/>
            <w:vAlign w:val="bottom"/>
          </w:tcPr>
          <w:p w14:paraId="50DF9850" w14:textId="77777777" w:rsidR="008651D1" w:rsidRPr="00ED1899" w:rsidRDefault="008651D1" w:rsidP="00154DC1">
            <w:pPr>
              <w:spacing w:before="0" w:after="0" w:line="240" w:lineRule="auto"/>
              <w:jc w:val="center"/>
              <w:rPr>
                <w:rFonts w:cstheme="minorHAnsi"/>
                <w:b/>
                <w:sz w:val="20"/>
              </w:rPr>
            </w:pPr>
            <w:r w:rsidRPr="00ED1899">
              <w:rPr>
                <w:rFonts w:cstheme="minorHAnsi"/>
                <w:b/>
                <w:sz w:val="20"/>
              </w:rPr>
              <w:t>Keyword</w:t>
            </w:r>
          </w:p>
        </w:tc>
        <w:tc>
          <w:tcPr>
            <w:tcW w:w="1142" w:type="pct"/>
            <w:shd w:val="clear" w:color="auto" w:fill="F2F2F2" w:themeFill="background1" w:themeFillShade="F2"/>
            <w:vAlign w:val="bottom"/>
          </w:tcPr>
          <w:p w14:paraId="2CE320D0" w14:textId="65C32EA4" w:rsidR="008651D1" w:rsidRPr="00ED1899" w:rsidRDefault="008651D1" w:rsidP="00154DC1">
            <w:pPr>
              <w:spacing w:before="0" w:after="0" w:line="240" w:lineRule="auto"/>
              <w:jc w:val="center"/>
              <w:rPr>
                <w:rFonts w:cstheme="minorHAnsi"/>
                <w:b/>
                <w:sz w:val="20"/>
              </w:rPr>
            </w:pPr>
            <w:r w:rsidRPr="00ED1899">
              <w:rPr>
                <w:rFonts w:cstheme="minorHAnsi"/>
                <w:b/>
                <w:sz w:val="20"/>
              </w:rPr>
              <w:t xml:space="preserve">Baseline Design Value </w:t>
            </w:r>
          </w:p>
        </w:tc>
        <w:tc>
          <w:tcPr>
            <w:tcW w:w="1283" w:type="pct"/>
            <w:shd w:val="clear" w:color="auto" w:fill="F2F2F2" w:themeFill="background1" w:themeFillShade="F2"/>
            <w:vAlign w:val="bottom"/>
          </w:tcPr>
          <w:p w14:paraId="206E86AF" w14:textId="77777777" w:rsidR="008651D1" w:rsidRPr="00ED1899" w:rsidRDefault="008651D1" w:rsidP="00154DC1">
            <w:pPr>
              <w:spacing w:before="0" w:after="0" w:line="240" w:lineRule="auto"/>
              <w:jc w:val="center"/>
              <w:rPr>
                <w:rFonts w:cstheme="minorHAnsi"/>
                <w:b/>
                <w:sz w:val="20"/>
              </w:rPr>
            </w:pPr>
            <w:r w:rsidRPr="00ED1899">
              <w:rPr>
                <w:rFonts w:cstheme="minorHAnsi"/>
                <w:b/>
                <w:sz w:val="20"/>
              </w:rPr>
              <w:t>Measure Design Value</w:t>
            </w:r>
          </w:p>
        </w:tc>
      </w:tr>
      <w:tr w:rsidR="008651D1" w:rsidRPr="00ED1899" w14:paraId="493B7B7A" w14:textId="77777777" w:rsidTr="00154DC1">
        <w:tc>
          <w:tcPr>
            <w:tcW w:w="5000" w:type="pct"/>
            <w:gridSpan w:val="4"/>
          </w:tcPr>
          <w:p w14:paraId="4AE4DE93" w14:textId="77777777" w:rsidR="008651D1" w:rsidRPr="00ED1899" w:rsidRDefault="008651D1" w:rsidP="00154DC1">
            <w:pPr>
              <w:spacing w:before="0" w:after="0" w:line="240" w:lineRule="auto"/>
              <w:rPr>
                <w:rFonts w:cstheme="minorHAnsi"/>
                <w:sz w:val="20"/>
              </w:rPr>
            </w:pPr>
            <w:r>
              <w:rPr>
                <w:rFonts w:cstheme="minorHAnsi"/>
                <w:b/>
                <w:sz w:val="20"/>
              </w:rPr>
              <w:t>Chilled Water</w:t>
            </w:r>
            <w:r w:rsidRPr="00ED1899">
              <w:rPr>
                <w:rFonts w:cstheme="minorHAnsi"/>
                <w:b/>
                <w:sz w:val="20"/>
              </w:rPr>
              <w:t xml:space="preserve"> Loop Pump </w:t>
            </w:r>
            <w:r>
              <w:rPr>
                <w:rFonts w:cstheme="minorHAnsi"/>
                <w:b/>
                <w:sz w:val="20"/>
              </w:rPr>
              <w:t>(CHWP)</w:t>
            </w:r>
          </w:p>
        </w:tc>
      </w:tr>
      <w:tr w:rsidR="008651D1" w:rsidRPr="00ED1899" w14:paraId="2436A918" w14:textId="77777777" w:rsidTr="00154DC1">
        <w:tc>
          <w:tcPr>
            <w:tcW w:w="1161" w:type="pct"/>
          </w:tcPr>
          <w:p w14:paraId="09FCDB81" w14:textId="77777777" w:rsidR="008651D1" w:rsidRPr="00ED1899" w:rsidRDefault="008651D1" w:rsidP="00154DC1">
            <w:pPr>
              <w:spacing w:before="0" w:after="0" w:line="240" w:lineRule="auto"/>
              <w:rPr>
                <w:rFonts w:cstheme="minorHAnsi"/>
                <w:sz w:val="20"/>
              </w:rPr>
            </w:pPr>
            <w:r w:rsidRPr="00ED1899">
              <w:rPr>
                <w:rFonts w:cstheme="minorHAnsi"/>
                <w:sz w:val="20"/>
              </w:rPr>
              <w:t>96,03</w:t>
            </w:r>
          </w:p>
        </w:tc>
        <w:tc>
          <w:tcPr>
            <w:tcW w:w="1414" w:type="pct"/>
          </w:tcPr>
          <w:p w14:paraId="447D91B8" w14:textId="77777777" w:rsidR="008651D1" w:rsidRPr="00ED1899" w:rsidRDefault="008651D1" w:rsidP="00154DC1">
            <w:pPr>
              <w:spacing w:before="0" w:after="0" w:line="240" w:lineRule="auto"/>
              <w:rPr>
                <w:rFonts w:cstheme="minorHAnsi"/>
                <w:sz w:val="20"/>
              </w:rPr>
            </w:pPr>
            <w:r w:rsidRPr="00ED1899">
              <w:rPr>
                <w:rFonts w:cstheme="minorHAnsi"/>
                <w:sz w:val="20"/>
              </w:rPr>
              <w:t>PUMP:CAP-CTRL</w:t>
            </w:r>
          </w:p>
        </w:tc>
        <w:tc>
          <w:tcPr>
            <w:tcW w:w="1142" w:type="pct"/>
          </w:tcPr>
          <w:p w14:paraId="204C1FFB" w14:textId="77777777" w:rsidR="008651D1" w:rsidRPr="00ED1899" w:rsidRDefault="008651D1" w:rsidP="00154DC1">
            <w:pPr>
              <w:spacing w:before="0" w:after="0" w:line="240" w:lineRule="auto"/>
              <w:rPr>
                <w:rFonts w:cstheme="minorHAnsi"/>
                <w:sz w:val="20"/>
              </w:rPr>
            </w:pPr>
            <w:r w:rsidRPr="00ED1899">
              <w:rPr>
                <w:rFonts w:cstheme="minorHAnsi"/>
                <w:sz w:val="20"/>
              </w:rPr>
              <w:t>ONE-SPEED-PUMP</w:t>
            </w:r>
          </w:p>
        </w:tc>
        <w:tc>
          <w:tcPr>
            <w:tcW w:w="1283" w:type="pct"/>
          </w:tcPr>
          <w:p w14:paraId="23739562" w14:textId="77777777" w:rsidR="008651D1" w:rsidRPr="00ED1899" w:rsidRDefault="008651D1" w:rsidP="00154DC1">
            <w:pPr>
              <w:spacing w:before="0" w:after="0" w:line="240" w:lineRule="auto"/>
              <w:rPr>
                <w:rFonts w:cstheme="minorHAnsi"/>
                <w:sz w:val="20"/>
              </w:rPr>
            </w:pPr>
            <w:r w:rsidRPr="00ED1899">
              <w:rPr>
                <w:rFonts w:cstheme="minorHAnsi"/>
                <w:sz w:val="20"/>
              </w:rPr>
              <w:t>VAR-SPEED-PUMP</w:t>
            </w:r>
          </w:p>
        </w:tc>
      </w:tr>
      <w:tr w:rsidR="008651D1" w:rsidRPr="00ED1899" w14:paraId="7BC0074C" w14:textId="77777777" w:rsidTr="00154DC1">
        <w:tc>
          <w:tcPr>
            <w:tcW w:w="1161" w:type="pct"/>
          </w:tcPr>
          <w:p w14:paraId="6001C50D" w14:textId="77777777" w:rsidR="008651D1" w:rsidRPr="00ED1899" w:rsidRDefault="008651D1" w:rsidP="00154DC1">
            <w:pPr>
              <w:spacing w:before="0" w:after="0" w:line="240" w:lineRule="auto"/>
              <w:rPr>
                <w:rFonts w:cstheme="minorHAnsi"/>
                <w:sz w:val="20"/>
              </w:rPr>
            </w:pPr>
            <w:r w:rsidRPr="00ED1899">
              <w:rPr>
                <w:rFonts w:cstheme="minorHAnsi"/>
                <w:sz w:val="20"/>
              </w:rPr>
              <w:t>96,03</w:t>
            </w:r>
          </w:p>
        </w:tc>
        <w:tc>
          <w:tcPr>
            <w:tcW w:w="1414" w:type="pct"/>
          </w:tcPr>
          <w:p w14:paraId="3EF15A91" w14:textId="77777777" w:rsidR="008651D1" w:rsidRPr="00ED1899" w:rsidRDefault="008651D1" w:rsidP="00154DC1">
            <w:pPr>
              <w:spacing w:before="0" w:after="0" w:line="240" w:lineRule="auto"/>
              <w:rPr>
                <w:rFonts w:cstheme="minorHAnsi"/>
                <w:sz w:val="20"/>
              </w:rPr>
            </w:pPr>
            <w:r w:rsidRPr="00ED1899">
              <w:rPr>
                <w:rFonts w:cstheme="minorHAnsi"/>
                <w:sz w:val="20"/>
              </w:rPr>
              <w:t>SYSTEM:CHW-VALVE-TYPE</w:t>
            </w:r>
          </w:p>
        </w:tc>
        <w:tc>
          <w:tcPr>
            <w:tcW w:w="1142" w:type="pct"/>
          </w:tcPr>
          <w:p w14:paraId="4C2C3428" w14:textId="77777777" w:rsidR="008651D1" w:rsidRPr="00ED1899" w:rsidRDefault="008651D1" w:rsidP="00154DC1">
            <w:pPr>
              <w:spacing w:before="0" w:after="0" w:line="240" w:lineRule="auto"/>
              <w:rPr>
                <w:rFonts w:cstheme="minorHAnsi"/>
                <w:sz w:val="20"/>
              </w:rPr>
            </w:pPr>
            <w:r w:rsidRPr="00ED1899">
              <w:rPr>
                <w:rFonts w:cstheme="minorHAnsi"/>
                <w:sz w:val="20"/>
              </w:rPr>
              <w:t xml:space="preserve">THREE-WAY </w:t>
            </w:r>
          </w:p>
        </w:tc>
        <w:tc>
          <w:tcPr>
            <w:tcW w:w="1283" w:type="pct"/>
          </w:tcPr>
          <w:p w14:paraId="56D9C74F" w14:textId="77777777" w:rsidR="008651D1" w:rsidRPr="00ED1899" w:rsidRDefault="008651D1" w:rsidP="00154DC1">
            <w:pPr>
              <w:spacing w:before="0" w:after="0" w:line="240" w:lineRule="auto"/>
              <w:rPr>
                <w:rFonts w:cstheme="minorHAnsi"/>
                <w:sz w:val="20"/>
              </w:rPr>
            </w:pPr>
            <w:r w:rsidRPr="00ED1899">
              <w:rPr>
                <w:rFonts w:cstheme="minorHAnsi"/>
                <w:sz w:val="20"/>
              </w:rPr>
              <w:t>TWO-WAY</w:t>
            </w:r>
          </w:p>
        </w:tc>
      </w:tr>
      <w:tr w:rsidR="008651D1" w:rsidRPr="00ED1899" w14:paraId="3B6ADF23" w14:textId="77777777" w:rsidTr="00154DC1">
        <w:tc>
          <w:tcPr>
            <w:tcW w:w="5000" w:type="pct"/>
            <w:gridSpan w:val="4"/>
          </w:tcPr>
          <w:p w14:paraId="10E4FA81" w14:textId="77777777" w:rsidR="008651D1" w:rsidRPr="00ED1899" w:rsidRDefault="008651D1" w:rsidP="00154DC1">
            <w:pPr>
              <w:spacing w:before="0" w:after="0" w:line="240" w:lineRule="auto"/>
              <w:rPr>
                <w:rFonts w:cstheme="minorHAnsi"/>
                <w:sz w:val="20"/>
              </w:rPr>
            </w:pPr>
            <w:r w:rsidRPr="00ED1899">
              <w:rPr>
                <w:rFonts w:cstheme="minorHAnsi"/>
                <w:b/>
                <w:sz w:val="20"/>
              </w:rPr>
              <w:t>C</w:t>
            </w:r>
            <w:r>
              <w:rPr>
                <w:rFonts w:cstheme="minorHAnsi"/>
                <w:b/>
                <w:sz w:val="20"/>
              </w:rPr>
              <w:t xml:space="preserve">ondenser </w:t>
            </w:r>
            <w:r w:rsidRPr="00ED1899">
              <w:rPr>
                <w:rFonts w:cstheme="minorHAnsi"/>
                <w:b/>
                <w:sz w:val="20"/>
              </w:rPr>
              <w:t>W</w:t>
            </w:r>
            <w:r>
              <w:rPr>
                <w:rFonts w:cstheme="minorHAnsi"/>
                <w:b/>
                <w:sz w:val="20"/>
              </w:rPr>
              <w:t xml:space="preserve">ater </w:t>
            </w:r>
            <w:r w:rsidRPr="00ED1899">
              <w:rPr>
                <w:rFonts w:cstheme="minorHAnsi"/>
                <w:b/>
                <w:sz w:val="20"/>
              </w:rPr>
              <w:t xml:space="preserve">Loop Pump </w:t>
            </w:r>
            <w:r>
              <w:rPr>
                <w:rFonts w:cstheme="minorHAnsi"/>
                <w:b/>
                <w:sz w:val="20"/>
              </w:rPr>
              <w:t>(CWP)</w:t>
            </w:r>
          </w:p>
        </w:tc>
      </w:tr>
      <w:tr w:rsidR="008651D1" w:rsidRPr="00ED1899" w14:paraId="6F52B58F" w14:textId="77777777" w:rsidTr="00154DC1">
        <w:tc>
          <w:tcPr>
            <w:tcW w:w="1161" w:type="pct"/>
          </w:tcPr>
          <w:p w14:paraId="0DFF0501" w14:textId="6589631D" w:rsidR="008651D1" w:rsidRPr="00ED1899" w:rsidRDefault="008651D1" w:rsidP="00154DC1">
            <w:pPr>
              <w:spacing w:before="0" w:after="0" w:line="240" w:lineRule="auto"/>
              <w:rPr>
                <w:rFonts w:cstheme="minorHAnsi"/>
                <w:sz w:val="20"/>
              </w:rPr>
            </w:pPr>
            <w:r w:rsidRPr="00ED1899">
              <w:rPr>
                <w:rFonts w:cstheme="minorHAnsi"/>
                <w:sz w:val="20"/>
              </w:rPr>
              <w:lastRenderedPageBreak/>
              <w:t>96,03,07,11,1</w:t>
            </w:r>
            <w:r w:rsidR="00FF79A2">
              <w:rPr>
                <w:rFonts w:cstheme="minorHAnsi"/>
                <w:sz w:val="20"/>
              </w:rPr>
              <w:t>5,17,20</w:t>
            </w:r>
          </w:p>
        </w:tc>
        <w:tc>
          <w:tcPr>
            <w:tcW w:w="1414" w:type="pct"/>
          </w:tcPr>
          <w:p w14:paraId="0B6FAF30" w14:textId="77777777" w:rsidR="008651D1" w:rsidRPr="00ED1899" w:rsidRDefault="008651D1" w:rsidP="00154DC1">
            <w:pPr>
              <w:spacing w:before="0" w:after="0" w:line="240" w:lineRule="auto"/>
              <w:rPr>
                <w:rFonts w:cstheme="minorHAnsi"/>
                <w:sz w:val="20"/>
              </w:rPr>
            </w:pPr>
            <w:r w:rsidRPr="00ED1899">
              <w:rPr>
                <w:rFonts w:cstheme="minorHAnsi"/>
                <w:sz w:val="20"/>
              </w:rPr>
              <w:t>PUMP:CAP-CTRL</w:t>
            </w:r>
          </w:p>
        </w:tc>
        <w:tc>
          <w:tcPr>
            <w:tcW w:w="1142" w:type="pct"/>
          </w:tcPr>
          <w:p w14:paraId="56A08446" w14:textId="77777777" w:rsidR="008651D1" w:rsidRPr="00ED1899" w:rsidRDefault="008651D1" w:rsidP="00154DC1">
            <w:pPr>
              <w:spacing w:before="0" w:after="0" w:line="240" w:lineRule="auto"/>
              <w:rPr>
                <w:rFonts w:cstheme="minorHAnsi"/>
                <w:sz w:val="20"/>
              </w:rPr>
            </w:pPr>
            <w:r w:rsidRPr="00ED1899">
              <w:rPr>
                <w:rFonts w:cstheme="minorHAnsi"/>
                <w:sz w:val="20"/>
              </w:rPr>
              <w:t>N/A</w:t>
            </w:r>
          </w:p>
        </w:tc>
        <w:tc>
          <w:tcPr>
            <w:tcW w:w="1283" w:type="pct"/>
          </w:tcPr>
          <w:p w14:paraId="66FF6857" w14:textId="77777777" w:rsidR="008651D1" w:rsidRPr="00ED1899" w:rsidRDefault="008651D1" w:rsidP="00154DC1">
            <w:pPr>
              <w:spacing w:before="0" w:after="0" w:line="240" w:lineRule="auto"/>
              <w:rPr>
                <w:rFonts w:cstheme="minorHAnsi"/>
                <w:sz w:val="20"/>
              </w:rPr>
            </w:pPr>
            <w:r w:rsidRPr="00ED1899">
              <w:rPr>
                <w:rFonts w:cstheme="minorHAnsi"/>
                <w:sz w:val="20"/>
              </w:rPr>
              <w:t>VAR-SPEED-PUMP</w:t>
            </w:r>
          </w:p>
        </w:tc>
      </w:tr>
      <w:tr w:rsidR="008651D1" w:rsidRPr="00ED1899" w14:paraId="4D81FE31" w14:textId="77777777" w:rsidTr="00154DC1">
        <w:tc>
          <w:tcPr>
            <w:tcW w:w="1161" w:type="pct"/>
          </w:tcPr>
          <w:p w14:paraId="530C14A0" w14:textId="678B89C1" w:rsidR="008651D1" w:rsidRPr="00ED1899" w:rsidRDefault="00FF79A2" w:rsidP="00154DC1">
            <w:pPr>
              <w:spacing w:before="0" w:after="0" w:line="240" w:lineRule="auto"/>
              <w:rPr>
                <w:rFonts w:cstheme="minorHAnsi"/>
                <w:sz w:val="20"/>
              </w:rPr>
            </w:pPr>
            <w:r w:rsidRPr="00ED1899">
              <w:rPr>
                <w:rFonts w:cstheme="minorHAnsi"/>
                <w:sz w:val="20"/>
              </w:rPr>
              <w:t>96,03,07,11,1</w:t>
            </w:r>
            <w:r>
              <w:rPr>
                <w:rFonts w:cstheme="minorHAnsi"/>
                <w:sz w:val="20"/>
              </w:rPr>
              <w:t>5,17,20</w:t>
            </w:r>
          </w:p>
        </w:tc>
        <w:tc>
          <w:tcPr>
            <w:tcW w:w="1414" w:type="pct"/>
          </w:tcPr>
          <w:p w14:paraId="11802AB3" w14:textId="77777777" w:rsidR="008651D1" w:rsidRPr="00ED1899" w:rsidRDefault="008651D1" w:rsidP="00154DC1">
            <w:pPr>
              <w:spacing w:before="0" w:after="0" w:line="240" w:lineRule="auto"/>
              <w:rPr>
                <w:rFonts w:cstheme="minorHAnsi"/>
                <w:sz w:val="20"/>
              </w:rPr>
            </w:pPr>
            <w:r w:rsidRPr="00ED1899">
              <w:rPr>
                <w:rFonts w:cstheme="minorHAnsi"/>
                <w:sz w:val="20"/>
              </w:rPr>
              <w:t>CHILLER:CW-FLOW-CTRL</w:t>
            </w:r>
          </w:p>
        </w:tc>
        <w:tc>
          <w:tcPr>
            <w:tcW w:w="1142" w:type="pct"/>
          </w:tcPr>
          <w:p w14:paraId="7CF2D011" w14:textId="77777777" w:rsidR="008651D1" w:rsidRPr="00ED1899" w:rsidRDefault="008651D1" w:rsidP="00154DC1">
            <w:pPr>
              <w:spacing w:before="0" w:after="0" w:line="240" w:lineRule="auto"/>
              <w:rPr>
                <w:rFonts w:cstheme="minorHAnsi"/>
                <w:sz w:val="20"/>
              </w:rPr>
            </w:pPr>
            <w:r w:rsidRPr="00ED1899">
              <w:rPr>
                <w:rFonts w:cstheme="minorHAnsi"/>
                <w:sz w:val="20"/>
              </w:rPr>
              <w:t>CONSTANT-FLOW</w:t>
            </w:r>
          </w:p>
        </w:tc>
        <w:tc>
          <w:tcPr>
            <w:tcW w:w="1283" w:type="pct"/>
          </w:tcPr>
          <w:p w14:paraId="0A25217A" w14:textId="77777777" w:rsidR="008651D1" w:rsidRPr="00ED1899" w:rsidRDefault="008651D1" w:rsidP="00154DC1">
            <w:pPr>
              <w:spacing w:before="0" w:after="0" w:line="240" w:lineRule="auto"/>
              <w:rPr>
                <w:rFonts w:cstheme="minorHAnsi"/>
                <w:sz w:val="20"/>
              </w:rPr>
            </w:pPr>
            <w:r w:rsidRPr="00ED1899">
              <w:rPr>
                <w:rFonts w:cstheme="minorHAnsi"/>
                <w:sz w:val="20"/>
              </w:rPr>
              <w:t>VARIABLE-FLOW</w:t>
            </w:r>
          </w:p>
        </w:tc>
      </w:tr>
      <w:tr w:rsidR="008651D1" w:rsidRPr="00ED1899" w14:paraId="54CFEB34" w14:textId="77777777" w:rsidTr="00154DC1">
        <w:tc>
          <w:tcPr>
            <w:tcW w:w="1161" w:type="pct"/>
          </w:tcPr>
          <w:p w14:paraId="0F017279" w14:textId="3890F34C" w:rsidR="008651D1" w:rsidRPr="00ED1899" w:rsidRDefault="00FF79A2" w:rsidP="00154DC1">
            <w:pPr>
              <w:spacing w:before="0" w:after="0" w:line="240" w:lineRule="auto"/>
              <w:rPr>
                <w:rFonts w:cstheme="minorHAnsi"/>
                <w:sz w:val="20"/>
              </w:rPr>
            </w:pPr>
            <w:r w:rsidRPr="00ED1899">
              <w:rPr>
                <w:rFonts w:cstheme="minorHAnsi"/>
                <w:sz w:val="20"/>
              </w:rPr>
              <w:t>96,03,07,11,1</w:t>
            </w:r>
            <w:r>
              <w:rPr>
                <w:rFonts w:cstheme="minorHAnsi"/>
                <w:sz w:val="20"/>
              </w:rPr>
              <w:t>5,17,20</w:t>
            </w:r>
          </w:p>
        </w:tc>
        <w:tc>
          <w:tcPr>
            <w:tcW w:w="1414" w:type="pct"/>
          </w:tcPr>
          <w:p w14:paraId="4591492C" w14:textId="77777777" w:rsidR="008651D1" w:rsidRPr="00ED1899" w:rsidRDefault="008651D1" w:rsidP="00154DC1">
            <w:pPr>
              <w:spacing w:before="0" w:after="0" w:line="240" w:lineRule="auto"/>
              <w:rPr>
                <w:rFonts w:cstheme="minorHAnsi"/>
                <w:sz w:val="20"/>
              </w:rPr>
            </w:pPr>
            <w:r w:rsidRPr="00ED1899">
              <w:rPr>
                <w:rFonts w:cstheme="minorHAnsi"/>
                <w:sz w:val="20"/>
              </w:rPr>
              <w:t>CHILLER:CW-MIN-FLOW</w:t>
            </w:r>
          </w:p>
        </w:tc>
        <w:tc>
          <w:tcPr>
            <w:tcW w:w="1142" w:type="pct"/>
          </w:tcPr>
          <w:p w14:paraId="71B1062E" w14:textId="77777777" w:rsidR="008651D1" w:rsidRPr="00ED1899" w:rsidRDefault="008651D1" w:rsidP="00154DC1">
            <w:pPr>
              <w:spacing w:before="0" w:after="0" w:line="240" w:lineRule="auto"/>
              <w:rPr>
                <w:rFonts w:cstheme="minorHAnsi"/>
                <w:sz w:val="20"/>
              </w:rPr>
            </w:pPr>
            <w:r w:rsidRPr="00ED1899">
              <w:rPr>
                <w:rFonts w:cstheme="minorHAnsi"/>
                <w:sz w:val="20"/>
              </w:rPr>
              <w:t>N/A</w:t>
            </w:r>
          </w:p>
        </w:tc>
        <w:tc>
          <w:tcPr>
            <w:tcW w:w="1283" w:type="pct"/>
          </w:tcPr>
          <w:p w14:paraId="2F4713D0" w14:textId="77777777" w:rsidR="008651D1" w:rsidRPr="00ED1899" w:rsidRDefault="008651D1" w:rsidP="00154DC1">
            <w:pPr>
              <w:spacing w:before="0" w:after="0" w:line="240" w:lineRule="auto"/>
              <w:rPr>
                <w:rFonts w:cstheme="minorHAnsi"/>
                <w:sz w:val="20"/>
              </w:rPr>
            </w:pPr>
            <w:r w:rsidRPr="00ED1899">
              <w:rPr>
                <w:rFonts w:cstheme="minorHAnsi"/>
                <w:sz w:val="20"/>
              </w:rPr>
              <w:t>0.70 (ratio)</w:t>
            </w:r>
          </w:p>
        </w:tc>
      </w:tr>
      <w:tr w:rsidR="008651D1" w:rsidRPr="00ED1899" w14:paraId="621345DB" w14:textId="77777777" w:rsidTr="00154DC1">
        <w:tc>
          <w:tcPr>
            <w:tcW w:w="1161" w:type="pct"/>
          </w:tcPr>
          <w:p w14:paraId="477EFF29" w14:textId="47C82F16" w:rsidR="008651D1" w:rsidRPr="00ED1899" w:rsidRDefault="00FF79A2" w:rsidP="00154DC1">
            <w:pPr>
              <w:spacing w:before="0" w:after="0" w:line="240" w:lineRule="auto"/>
              <w:rPr>
                <w:rFonts w:cstheme="minorHAnsi"/>
                <w:sz w:val="20"/>
              </w:rPr>
            </w:pPr>
            <w:r w:rsidRPr="00ED1899">
              <w:rPr>
                <w:rFonts w:cstheme="minorHAnsi"/>
                <w:sz w:val="20"/>
              </w:rPr>
              <w:t>96,03,07,11,1</w:t>
            </w:r>
            <w:r>
              <w:rPr>
                <w:rFonts w:cstheme="minorHAnsi"/>
                <w:sz w:val="20"/>
              </w:rPr>
              <w:t>5,17,20</w:t>
            </w:r>
          </w:p>
        </w:tc>
        <w:tc>
          <w:tcPr>
            <w:tcW w:w="1414" w:type="pct"/>
          </w:tcPr>
          <w:p w14:paraId="6E0F967E" w14:textId="77777777" w:rsidR="008651D1" w:rsidRPr="00ED1899" w:rsidRDefault="008651D1" w:rsidP="00154DC1">
            <w:pPr>
              <w:spacing w:before="0" w:after="0" w:line="240" w:lineRule="auto"/>
              <w:rPr>
                <w:rFonts w:cstheme="minorHAnsi"/>
                <w:sz w:val="20"/>
              </w:rPr>
            </w:pPr>
            <w:r w:rsidRPr="00ED1899">
              <w:rPr>
                <w:rFonts w:cstheme="minorHAnsi"/>
                <w:sz w:val="20"/>
              </w:rPr>
              <w:t>CHILLER:MAX-COND-T</w:t>
            </w:r>
          </w:p>
        </w:tc>
        <w:tc>
          <w:tcPr>
            <w:tcW w:w="1142" w:type="pct"/>
          </w:tcPr>
          <w:p w14:paraId="670D4E5E" w14:textId="77777777" w:rsidR="008651D1" w:rsidRPr="00ED1899" w:rsidRDefault="008651D1" w:rsidP="00154DC1">
            <w:pPr>
              <w:spacing w:before="0" w:after="0" w:line="240" w:lineRule="auto"/>
              <w:rPr>
                <w:rFonts w:cstheme="minorHAnsi"/>
                <w:sz w:val="20"/>
              </w:rPr>
            </w:pPr>
            <w:r w:rsidRPr="00ED1899">
              <w:rPr>
                <w:rFonts w:cstheme="minorHAnsi"/>
                <w:sz w:val="20"/>
              </w:rPr>
              <w:t>N/A</w:t>
            </w:r>
          </w:p>
        </w:tc>
        <w:tc>
          <w:tcPr>
            <w:tcW w:w="1283" w:type="pct"/>
          </w:tcPr>
          <w:p w14:paraId="048449E3" w14:textId="77777777" w:rsidR="008651D1" w:rsidRPr="00ED1899" w:rsidRDefault="008651D1" w:rsidP="00154DC1">
            <w:pPr>
              <w:spacing w:before="0" w:after="0" w:line="240" w:lineRule="auto"/>
              <w:rPr>
                <w:rFonts w:cstheme="minorHAnsi"/>
                <w:sz w:val="20"/>
              </w:rPr>
            </w:pPr>
            <w:r w:rsidRPr="00ED1899">
              <w:rPr>
                <w:rFonts w:cstheme="minorHAnsi"/>
                <w:sz w:val="20"/>
              </w:rPr>
              <w:t>85.0 (degF)</w:t>
            </w:r>
          </w:p>
        </w:tc>
      </w:tr>
    </w:tbl>
    <w:p w14:paraId="43700AA8" w14:textId="77777777" w:rsidR="00302CD4" w:rsidRDefault="00302CD4" w:rsidP="0038465D"/>
    <w:p w14:paraId="7D13C39D" w14:textId="2F1E524F" w:rsidR="00C85139" w:rsidRDefault="00C85139" w:rsidP="0038465D">
      <w:r w:rsidRPr="00950646">
        <w:t xml:space="preserve">For the </w:t>
      </w:r>
      <w:r w:rsidRPr="00C85139">
        <w:t xml:space="preserve">CWP </w:t>
      </w:r>
      <w:r w:rsidR="00A5765D">
        <w:t>VSD</w:t>
      </w:r>
      <w:r w:rsidR="00A5765D" w:rsidRPr="00C85139">
        <w:t xml:space="preserve"> </w:t>
      </w:r>
      <w:r w:rsidRPr="00950646">
        <w:t>measure</w:t>
      </w:r>
      <w:r>
        <w:t xml:space="preserve"> offering</w:t>
      </w:r>
      <w:r w:rsidRPr="00950646">
        <w:t>, it is important to define a minimum condenser water flow</w:t>
      </w:r>
      <w:r>
        <w:t xml:space="preserve"> </w:t>
      </w:r>
      <w:r w:rsidRPr="00344C24">
        <w:t xml:space="preserve">rate and a maximum allowable </w:t>
      </w:r>
      <w:r>
        <w:t xml:space="preserve">leaving </w:t>
      </w:r>
      <w:r w:rsidRPr="00344C24">
        <w:t xml:space="preserve">condenser </w:t>
      </w:r>
      <w:r>
        <w:t>temperature</w:t>
      </w:r>
      <w:r w:rsidR="00302CD4">
        <w:t>:</w:t>
      </w:r>
      <w:r>
        <w:t xml:space="preserve"> </w:t>
      </w:r>
    </w:p>
    <w:p w14:paraId="7A444F40" w14:textId="77777777" w:rsidR="00C85139" w:rsidRPr="00C1540F" w:rsidRDefault="00C85139" w:rsidP="0038465D">
      <w:pPr>
        <w:pStyle w:val="eTRMBulletedText"/>
        <w:numPr>
          <w:ilvl w:val="0"/>
          <w:numId w:val="36"/>
        </w:numPr>
      </w:pPr>
      <w:r w:rsidRPr="0038465D">
        <w:rPr>
          <w:i/>
          <w:iCs/>
        </w:rPr>
        <w:t>Minimum flow rate:</w:t>
      </w:r>
      <w:r w:rsidRPr="00C1540F">
        <w:t xml:space="preserve"> </w:t>
      </w:r>
      <w:r>
        <w:t>T</w:t>
      </w:r>
      <w:r w:rsidRPr="00C1540F">
        <w:t xml:space="preserve">he determinants are the minimum flow required by the chiller and the minimum flow required by the tower. </w:t>
      </w:r>
      <w:r>
        <w:t>A</w:t>
      </w:r>
      <w:r w:rsidRPr="00C1540F">
        <w:t xml:space="preserve"> conservative estimate of 70% achievable flow turndown was </w:t>
      </w:r>
      <w:r>
        <w:t>specified</w:t>
      </w:r>
      <w:r w:rsidRPr="00C1540F">
        <w:t xml:space="preserve"> for the measure case</w:t>
      </w:r>
      <w:r>
        <w:t>, based upon secondary research</w:t>
      </w:r>
      <w:r w:rsidRPr="00C1540F">
        <w:t>.</w:t>
      </w:r>
      <w:r>
        <w:rPr>
          <w:rStyle w:val="FootnoteReference"/>
        </w:rPr>
        <w:footnoteReference w:id="7"/>
      </w:r>
      <w:r w:rsidRPr="00C1540F">
        <w:t xml:space="preserve"> </w:t>
      </w:r>
    </w:p>
    <w:p w14:paraId="29A135C6" w14:textId="77777777" w:rsidR="00C85139" w:rsidRPr="00C1540F" w:rsidRDefault="00C85139" w:rsidP="0038465D">
      <w:pPr>
        <w:pStyle w:val="eTRMBulletedText"/>
        <w:numPr>
          <w:ilvl w:val="0"/>
          <w:numId w:val="36"/>
        </w:numPr>
      </w:pPr>
      <w:r w:rsidRPr="00D7679B">
        <w:rPr>
          <w:i/>
          <w:iCs/>
        </w:rPr>
        <w:t>Maximum leaving condenser temperature:</w:t>
      </w:r>
      <w:r>
        <w:t xml:space="preserve"> T</w:t>
      </w:r>
      <w:r w:rsidRPr="00C1540F">
        <w:t xml:space="preserve">he limit was set to 85 </w:t>
      </w:r>
      <w:r>
        <w:rPr>
          <w:rFonts w:cs="Calibri Light"/>
        </w:rPr>
        <w:t>°</w:t>
      </w:r>
      <w:r w:rsidRPr="00C1540F">
        <w:t xml:space="preserve">F, the condenser temperature at the rated conditions for the modeled chiller. </w:t>
      </w:r>
    </w:p>
    <w:p w14:paraId="76316EF9" w14:textId="33DD1C1F" w:rsidR="008651D1" w:rsidRDefault="00D5169A" w:rsidP="00302CD4">
      <w:r>
        <w:t xml:space="preserve">With the above modifications and selections, batch processing </w:t>
      </w:r>
      <w:r w:rsidR="00302CD4">
        <w:t xml:space="preserve">was </w:t>
      </w:r>
      <w:r w:rsidR="000B5345">
        <w:t xml:space="preserve">run in </w:t>
      </w:r>
      <w:r w:rsidR="00077A63">
        <w:t xml:space="preserve">MASControl3 </w:t>
      </w:r>
      <w:r w:rsidR="000B5345">
        <w:t>for all climate zones</w:t>
      </w:r>
      <w:r w:rsidR="00EA53FE">
        <w:t>. The output file include</w:t>
      </w:r>
      <w:r w:rsidR="00302CD4">
        <w:t>d</w:t>
      </w:r>
      <w:r w:rsidR="00EA53FE">
        <w:t xml:space="preserve"> </w:t>
      </w:r>
      <w:r w:rsidR="00297E74">
        <w:t xml:space="preserve">unit energy and demand values for </w:t>
      </w:r>
      <w:r w:rsidR="00EA53FE">
        <w:t>baseline</w:t>
      </w:r>
      <w:r w:rsidR="00297E74">
        <w:t>, measure</w:t>
      </w:r>
      <w:r w:rsidR="00302CD4">
        <w:t>,</w:t>
      </w:r>
      <w:r w:rsidR="00297E74">
        <w:t xml:space="preserve"> and savings. </w:t>
      </w:r>
    </w:p>
    <w:p w14:paraId="165C707E" w14:textId="73545E6C" w:rsidR="00077A63" w:rsidRDefault="00077A63" w:rsidP="00302CD4"/>
    <w:p w14:paraId="06B74E79" w14:textId="50336506" w:rsidR="00077A63" w:rsidRDefault="00077A63" w:rsidP="0038465D">
      <w:pPr>
        <w:pStyle w:val="eTRMHeading4"/>
      </w:pPr>
      <w:r>
        <w:t>Unit Energy Savings Calculation</w:t>
      </w:r>
    </w:p>
    <w:p w14:paraId="1C107256" w14:textId="09310674" w:rsidR="00CF35A6" w:rsidRPr="00FB572C" w:rsidRDefault="00CF35A6" w:rsidP="0038465D">
      <w:r w:rsidRPr="00FB572C">
        <w:t xml:space="preserve">To calculate the </w:t>
      </w:r>
      <w:r w:rsidR="00077A63">
        <w:t>UES (</w:t>
      </w:r>
      <w:r w:rsidRPr="00FB572C">
        <w:t>per horsepower</w:t>
      </w:r>
      <w:r w:rsidR="00077A63">
        <w:t>)</w:t>
      </w:r>
      <w:r w:rsidR="0094106B" w:rsidRPr="00FB572C">
        <w:t xml:space="preserve">, the pump </w:t>
      </w:r>
      <w:r w:rsidR="00302CD4">
        <w:t>demand</w:t>
      </w:r>
      <w:r w:rsidR="00302CD4" w:rsidRPr="00FB572C">
        <w:t xml:space="preserve"> </w:t>
      </w:r>
      <w:r w:rsidR="00302CD4">
        <w:t>was</w:t>
      </w:r>
      <w:r w:rsidR="00302CD4" w:rsidRPr="00FB572C">
        <w:t xml:space="preserve"> </w:t>
      </w:r>
      <w:r w:rsidR="0094106B" w:rsidRPr="00FB572C">
        <w:t xml:space="preserve">extracted </w:t>
      </w:r>
      <w:r w:rsidR="00FB572C" w:rsidRPr="00FB572C">
        <w:t xml:space="preserve">from </w:t>
      </w:r>
      <w:r w:rsidR="00077A63">
        <w:t>MASControl3 and was</w:t>
      </w:r>
      <w:r w:rsidRPr="00FB572C">
        <w:t xml:space="preserve"> converted to </w:t>
      </w:r>
      <w:r w:rsidR="00302CD4">
        <w:t>horsepower</w:t>
      </w:r>
      <w:r w:rsidR="00302CD4" w:rsidRPr="00FB572C">
        <w:t xml:space="preserve"> </w:t>
      </w:r>
      <w:r w:rsidRPr="00FB572C">
        <w:t xml:space="preserve">by dividing by 0.746. The nominal </w:t>
      </w:r>
      <w:r w:rsidR="00302CD4">
        <w:t>horsepower</w:t>
      </w:r>
      <w:r w:rsidR="00302CD4" w:rsidRPr="00FB572C">
        <w:t xml:space="preserve"> </w:t>
      </w:r>
      <w:r w:rsidRPr="00FB572C">
        <w:t xml:space="preserve">for the motors </w:t>
      </w:r>
      <w:r w:rsidR="00077A63">
        <w:t>was</w:t>
      </w:r>
      <w:r w:rsidR="00077A63" w:rsidRPr="00FB572C">
        <w:t xml:space="preserve"> </w:t>
      </w:r>
      <w:r w:rsidRPr="00FB572C">
        <w:t xml:space="preserve">determined by comparing with the industry standard motor sizes available from </w:t>
      </w:r>
      <w:r w:rsidR="00FB572C">
        <w:t>2018 RSMeans Electrical Costs</w:t>
      </w:r>
      <w:r w:rsidR="00302CD4">
        <w:t>.</w:t>
      </w:r>
      <w:r w:rsidR="00FB572C">
        <w:rPr>
          <w:rStyle w:val="FootnoteReference"/>
          <w:rFonts w:cstheme="minorHAnsi"/>
        </w:rPr>
        <w:footnoteReference w:id="8"/>
      </w:r>
      <w:r w:rsidRPr="00FB572C">
        <w:t xml:space="preserve"> </w:t>
      </w:r>
      <w:r w:rsidR="00884E12" w:rsidRPr="00C56302">
        <w:rPr>
          <w:rStyle w:val="FootnoteReference"/>
        </w:rPr>
        <w:footnoteReference w:id="9"/>
      </w:r>
    </w:p>
    <w:p w14:paraId="4C8E1D45" w14:textId="362073B6" w:rsidR="00297E74" w:rsidRDefault="00297E74" w:rsidP="0038465D">
      <w:bookmarkStart w:id="42" w:name="_Hlk10984250"/>
      <w:r>
        <w:t>The UES from the above step</w:t>
      </w:r>
      <w:r w:rsidR="00CF35A6">
        <w:t>s</w:t>
      </w:r>
      <w:r>
        <w:t xml:space="preserve"> for </w:t>
      </w:r>
      <w:r w:rsidR="00711420">
        <w:t>vintages</w:t>
      </w:r>
      <w:r w:rsidR="00884E12">
        <w:t xml:space="preserve"> defined by year ranges</w:t>
      </w:r>
      <w:r w:rsidR="00711420">
        <w:t xml:space="preserve"> </w:t>
      </w:r>
      <w:r w:rsidR="00077A63">
        <w:t xml:space="preserve">were </w:t>
      </w:r>
      <w:r w:rsidR="00711420">
        <w:t xml:space="preserve">transformed </w:t>
      </w:r>
      <w:r w:rsidR="00C626A9">
        <w:t>in</w:t>
      </w:r>
      <w:r w:rsidR="00711420">
        <w:t xml:space="preserve">to </w:t>
      </w:r>
      <w:r w:rsidR="00884E12">
        <w:t xml:space="preserve">the </w:t>
      </w:r>
      <w:r w:rsidR="00711420">
        <w:t>era</w:t>
      </w:r>
      <w:r w:rsidR="00884E12">
        <w:t xml:space="preserve"> vintages</w:t>
      </w:r>
      <w:r w:rsidR="00711420">
        <w:t xml:space="preserve"> using</w:t>
      </w:r>
      <w:r w:rsidR="00C626A9">
        <w:t xml:space="preserve"> </w:t>
      </w:r>
      <w:r w:rsidR="00077A63">
        <w:t xml:space="preserve">a </w:t>
      </w:r>
      <w:r w:rsidR="00C626A9">
        <w:t xml:space="preserve">weighted average approach </w:t>
      </w:r>
      <w:r w:rsidR="00DD1F88">
        <w:t xml:space="preserve">with </w:t>
      </w:r>
      <w:r w:rsidR="00711420">
        <w:t xml:space="preserve">the </w:t>
      </w:r>
      <w:r w:rsidR="00C626A9" w:rsidRPr="007756C3">
        <w:t>DEER2020 building weights</w:t>
      </w:r>
      <w:bookmarkEnd w:id="42"/>
      <w:r w:rsidR="00884E12">
        <w:t>.</w:t>
      </w:r>
      <w:r w:rsidR="00C626A9" w:rsidRPr="00BF6936">
        <w:rPr>
          <w:vertAlign w:val="superscript"/>
        </w:rPr>
        <w:footnoteReference w:id="10"/>
      </w:r>
      <w:hyperlink r:id="rId14" w:anchor="_ftn1" w:history="1"/>
      <w:r w:rsidR="00C626A9" w:rsidRPr="007756C3">
        <w:t> </w:t>
      </w:r>
      <w:r w:rsidR="00DD1F88">
        <w:t xml:space="preserve"> </w:t>
      </w:r>
      <w:r w:rsidR="00745034">
        <w:t>For CWP</w:t>
      </w:r>
      <w:r w:rsidR="00884E12">
        <w:t xml:space="preserve"> the “</w:t>
      </w:r>
      <w:r w:rsidR="009A0CAE">
        <w:t>old,</w:t>
      </w:r>
      <w:r w:rsidR="00884E12">
        <w:t>”</w:t>
      </w:r>
      <w:r w:rsidR="009A0CAE">
        <w:t xml:space="preserve"> </w:t>
      </w:r>
      <w:r w:rsidR="00884E12">
        <w:t>“</w:t>
      </w:r>
      <w:r w:rsidR="009A0CAE">
        <w:t>median</w:t>
      </w:r>
      <w:r w:rsidR="00884E12">
        <w:t>/</w:t>
      </w:r>
      <w:r w:rsidR="009A0CAE">
        <w:t>recent</w:t>
      </w:r>
      <w:r w:rsidR="00884E12">
        <w:t>”</w:t>
      </w:r>
      <w:r w:rsidR="009A0CAE">
        <w:t xml:space="preserve"> </w:t>
      </w:r>
      <w:r w:rsidR="00884E12">
        <w:t xml:space="preserve">were </w:t>
      </w:r>
      <w:r w:rsidR="009A0CAE">
        <w:t>combined into “</w:t>
      </w:r>
      <w:r w:rsidR="00154DC1">
        <w:t>E</w:t>
      </w:r>
      <w:r w:rsidR="009A0CAE">
        <w:t xml:space="preserve">x” using the DEER2020 building weights. </w:t>
      </w:r>
    </w:p>
    <w:p w14:paraId="54F5A029" w14:textId="1742F4D3" w:rsidR="00FC01D1" w:rsidRDefault="00FC01D1" w:rsidP="00FC01D1">
      <w:pPr>
        <w:rPr>
          <w:rFonts w:ascii="Calibri" w:hAnsi="Calibri"/>
        </w:rPr>
      </w:pPr>
      <w:r>
        <w:t xml:space="preserve">For CWP while the kWh savings for New are always lower than Ex, the normalized savings kWh/hp for New may be slightly higher compared to Ex in some cases. This is because the </w:t>
      </w:r>
      <w:r w:rsidR="0071573E">
        <w:t>nominal motor horsepower (</w:t>
      </w:r>
      <w:r>
        <w:t>normalizing unit</w:t>
      </w:r>
      <w:r w:rsidR="0071573E">
        <w:t>)</w:t>
      </w:r>
      <w:r>
        <w:t xml:space="preserve"> value decreases for New vintage.</w:t>
      </w:r>
    </w:p>
    <w:p w14:paraId="0C23B4E3" w14:textId="77777777" w:rsidR="007826B7" w:rsidRDefault="007826B7" w:rsidP="0038465D"/>
    <w:p w14:paraId="5AA0245E" w14:textId="71E8C5AE" w:rsidR="00077A63" w:rsidRDefault="00077A63" w:rsidP="00CC5179"/>
    <w:p w14:paraId="46B7702E" w14:textId="0F4D1469" w:rsidR="00BB4F22" w:rsidRDefault="00BB4F22" w:rsidP="0016415E">
      <w:pPr>
        <w:pStyle w:val="eTRMHeading3"/>
      </w:pPr>
      <w:bookmarkStart w:id="43" w:name="_Toc486490856"/>
      <w:bookmarkStart w:id="44" w:name="_Toc486580927"/>
      <w:bookmarkStart w:id="45" w:name="_Toc12448786"/>
      <w:r w:rsidRPr="0001609E">
        <w:t>Peak Electric Demand Reduction (</w:t>
      </w:r>
      <w:r w:rsidR="00E647AA" w:rsidRPr="00E647AA">
        <w:t>kW</w:t>
      </w:r>
      <w:r w:rsidRPr="0001609E">
        <w:t>)</w:t>
      </w:r>
      <w:bookmarkEnd w:id="43"/>
      <w:bookmarkEnd w:id="44"/>
      <w:bookmarkEnd w:id="45"/>
    </w:p>
    <w:p w14:paraId="6884CFB2" w14:textId="7807B31A" w:rsidR="00CC5179" w:rsidRDefault="00CC5179" w:rsidP="00CC5179">
      <w:pPr>
        <w:keepNext/>
        <w:keepLines/>
      </w:pPr>
      <w:r>
        <w:t xml:space="preserve">The approach </w:t>
      </w:r>
      <w:r w:rsidR="00884E12">
        <w:t>to derive electric unit energy savings</w:t>
      </w:r>
      <w:r>
        <w:t xml:space="preserve"> </w:t>
      </w:r>
      <w:r w:rsidR="00884E12">
        <w:t>was followed</w:t>
      </w:r>
      <w:r>
        <w:t xml:space="preserve"> to calculate the peak </w:t>
      </w:r>
      <w:r w:rsidR="00884E12">
        <w:t>demand reduction. See Electric Savings.</w:t>
      </w:r>
    </w:p>
    <w:p w14:paraId="31F99041" w14:textId="77777777" w:rsidR="00077A63" w:rsidRDefault="00077A63" w:rsidP="00D7679B"/>
    <w:p w14:paraId="02E97124" w14:textId="77777777" w:rsidR="00177EB6" w:rsidRPr="0001609E" w:rsidRDefault="00177EB6" w:rsidP="0016415E">
      <w:pPr>
        <w:pStyle w:val="eTRMHeading3"/>
      </w:pPr>
      <w:bookmarkStart w:id="46" w:name="_Toc486490858"/>
      <w:bookmarkStart w:id="47" w:name="_Toc486580929"/>
      <w:bookmarkStart w:id="48" w:name="_Toc12448787"/>
      <w:r w:rsidRPr="0001609E">
        <w:lastRenderedPageBreak/>
        <w:t>Gas Savings (</w:t>
      </w:r>
      <w:r w:rsidRPr="00C7412C">
        <w:t>Therms</w:t>
      </w:r>
      <w:r w:rsidRPr="0001609E">
        <w:t>)</w:t>
      </w:r>
      <w:bookmarkEnd w:id="46"/>
      <w:bookmarkEnd w:id="47"/>
      <w:bookmarkEnd w:id="48"/>
    </w:p>
    <w:p w14:paraId="20A2A164" w14:textId="3F9801C0" w:rsidR="00177EB6" w:rsidRDefault="001E1E69" w:rsidP="00177EB6">
      <w:r>
        <w:t>Not applicable.</w:t>
      </w:r>
    </w:p>
    <w:p w14:paraId="4587F027" w14:textId="77777777" w:rsidR="001E1E69" w:rsidRPr="0001609E" w:rsidRDefault="001E1E69" w:rsidP="00177EB6"/>
    <w:p w14:paraId="4DDCD51F" w14:textId="4F2BBAD7" w:rsidR="007D230B" w:rsidRPr="0001609E" w:rsidRDefault="00245AFF" w:rsidP="0016415E">
      <w:pPr>
        <w:pStyle w:val="eTRMHeading3"/>
      </w:pPr>
      <w:bookmarkStart w:id="49" w:name="_Toc12448788"/>
      <w:bookmarkStart w:id="50" w:name="_Toc486490859"/>
      <w:bookmarkStart w:id="51" w:name="_Toc486580930"/>
      <w:r w:rsidRPr="0001609E">
        <w:t>Life Cycle</w:t>
      </w:r>
      <w:bookmarkEnd w:id="49"/>
      <w:r w:rsidR="007D230B" w:rsidRPr="0001609E">
        <w:t xml:space="preserve"> </w:t>
      </w:r>
      <w:bookmarkEnd w:id="50"/>
      <w:bookmarkEnd w:id="51"/>
    </w:p>
    <w:p w14:paraId="6459579D" w14:textId="08D55BA5" w:rsidR="00177EB6" w:rsidRDefault="007F669E" w:rsidP="004142EF">
      <w:r w:rsidRPr="0001609E">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5C6C1F80" w14:textId="7CA1468A" w:rsidR="00842D80" w:rsidRDefault="00842D80" w:rsidP="00842D80">
      <w:pPr>
        <w:rPr>
          <w:rStyle w:val="eTRMFootnoteTextChar"/>
        </w:rPr>
      </w:pPr>
      <w:r>
        <w:t>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11"/>
      </w:r>
      <w:r>
        <w:t xml:space="preserve"> </w:t>
      </w:r>
      <w:r w:rsidRPr="008F087F">
        <w:rPr>
          <w:rFonts w:eastAsia="Times New Roman"/>
        </w:rPr>
        <w:t>This approach provides a reasonable RUL estimate without the requiring any a priori knowledge about the age of the equipment being replaced.</w:t>
      </w:r>
      <w:r>
        <w:rPr>
          <w:rStyle w:val="FootnoteReference"/>
          <w:rFonts w:eastAsia="Times New Roman"/>
        </w:rPr>
        <w:footnoteReference w:id="12"/>
      </w:r>
      <w:r w:rsidRPr="008F087F">
        <w:rPr>
          <w:rFonts w:eastAsia="Times New Roman"/>
        </w:rPr>
        <w:t> </w:t>
      </w:r>
      <w:r>
        <w:rPr>
          <w:rFonts w:eastAsia="Times New Roman"/>
        </w:rPr>
        <w:t>Further, a</w:t>
      </w:r>
      <w:r w:rsidRPr="00951F20">
        <w:t xml:space="preserve">s per Resolution E-4807, the California Public Utilities Commission (CPUC) revised add-on </w:t>
      </w:r>
      <w:r w:rsidR="00A107E7">
        <w:t>equipment</w:t>
      </w:r>
      <w:r>
        <w:t xml:space="preserve"> </w:t>
      </w:r>
      <w:r w:rsidRPr="00951F20">
        <w:t>measures so that the EUL of the measure is equal to the lower of the RUL of the modified system or equipment or the EUL of the add-on component.</w:t>
      </w:r>
      <w:r w:rsidRPr="0008447C">
        <w:rPr>
          <w:rStyle w:val="eTRMFootnoteTextChar"/>
        </w:rPr>
        <w:t xml:space="preserve"> </w:t>
      </w:r>
      <w:r>
        <w:rPr>
          <w:rStyle w:val="FootnoteReference"/>
        </w:rPr>
        <w:footnoteReference w:id="13"/>
      </w:r>
    </w:p>
    <w:p w14:paraId="521C0C13" w14:textId="0B57A697" w:rsidR="00E21565" w:rsidRPr="000A33B5" w:rsidRDefault="00E21565" w:rsidP="000A33B5">
      <w:pPr>
        <w:rPr>
          <w:sz w:val="28"/>
          <w:szCs w:val="32"/>
        </w:rPr>
      </w:pPr>
      <w:r w:rsidRPr="000A33B5">
        <w:rPr>
          <w:rStyle w:val="eTRMFootnoteTextChar"/>
          <w:sz w:val="22"/>
          <w:szCs w:val="32"/>
        </w:rPr>
        <w:t xml:space="preserve">The EUL and RUL established for this measure are specified below. The EUL was established for </w:t>
      </w:r>
      <w:r w:rsidR="000A33B5">
        <w:rPr>
          <w:rStyle w:val="eTRMFootnoteTextChar"/>
          <w:sz w:val="22"/>
          <w:szCs w:val="32"/>
        </w:rPr>
        <w:t xml:space="preserve">a variable flow water loop pump for the 2008 update of the Database of Energy Efficient Resources (DEER) and was based upon results of several retention studies conducted in California. </w:t>
      </w:r>
    </w:p>
    <w:p w14:paraId="7D542FEF" w14:textId="6CDDBB79" w:rsidR="00FD2C54" w:rsidRPr="0001609E" w:rsidRDefault="00FD2C54" w:rsidP="0038465D">
      <w:pPr>
        <w:pStyle w:val="Caption"/>
      </w:pPr>
      <w:r w:rsidRPr="0001609E">
        <w:t>Effective Useful Life</w:t>
      </w:r>
      <w:r w:rsidR="00BB4F22" w:rsidRPr="0001609E">
        <w:t xml:space="preserve"> and Remaining Useful Life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45"/>
        <w:gridCol w:w="1350"/>
        <w:gridCol w:w="5850"/>
      </w:tblGrid>
      <w:tr w:rsidR="00492985" w:rsidRPr="0001609E" w14:paraId="1FE81044" w14:textId="0C091959" w:rsidTr="00D7679B">
        <w:trPr>
          <w:cantSplit/>
          <w:trHeight w:val="20"/>
          <w:tblHeader/>
        </w:trPr>
        <w:tc>
          <w:tcPr>
            <w:tcW w:w="2245" w:type="dxa"/>
            <w:shd w:val="clear" w:color="auto" w:fill="F2F2F2" w:themeFill="background1" w:themeFillShade="F2"/>
            <w:vAlign w:val="bottom"/>
          </w:tcPr>
          <w:p w14:paraId="1666F440" w14:textId="31AB2C31" w:rsidR="00492985" w:rsidRPr="0001609E" w:rsidRDefault="00492985" w:rsidP="00D7679B">
            <w:pPr>
              <w:spacing w:beforeLines="20" w:before="48" w:afterLines="20" w:after="48"/>
              <w:jc w:val="center"/>
              <w:rPr>
                <w:rFonts w:cstheme="minorHAnsi"/>
                <w:b/>
                <w:sz w:val="20"/>
                <w:szCs w:val="20"/>
              </w:rPr>
            </w:pPr>
            <w:r w:rsidRPr="0001609E">
              <w:rPr>
                <w:rFonts w:cstheme="minorHAnsi"/>
                <w:b/>
                <w:sz w:val="20"/>
                <w:szCs w:val="20"/>
              </w:rPr>
              <w:t>Parameter</w:t>
            </w:r>
          </w:p>
        </w:tc>
        <w:tc>
          <w:tcPr>
            <w:tcW w:w="1350" w:type="dxa"/>
            <w:shd w:val="clear" w:color="auto" w:fill="F2F2F2" w:themeFill="background1" w:themeFillShade="F2"/>
          </w:tcPr>
          <w:p w14:paraId="18E57BF8" w14:textId="7074E315" w:rsidR="00492985" w:rsidRPr="00C7412C" w:rsidRDefault="00492985" w:rsidP="00D7679B">
            <w:pPr>
              <w:spacing w:beforeLines="20" w:before="48" w:afterLines="20" w:after="48"/>
              <w:jc w:val="center"/>
              <w:rPr>
                <w:rFonts w:cstheme="minorHAnsi"/>
                <w:b/>
                <w:sz w:val="20"/>
                <w:szCs w:val="20"/>
              </w:rPr>
            </w:pPr>
            <w:r w:rsidRPr="00C7412C">
              <w:rPr>
                <w:rFonts w:cstheme="minorHAnsi"/>
                <w:b/>
                <w:sz w:val="20"/>
                <w:szCs w:val="20"/>
              </w:rPr>
              <w:t>Value</w:t>
            </w:r>
          </w:p>
        </w:tc>
        <w:tc>
          <w:tcPr>
            <w:tcW w:w="5850" w:type="dxa"/>
            <w:shd w:val="clear" w:color="auto" w:fill="F2F2F2" w:themeFill="background1" w:themeFillShade="F2"/>
          </w:tcPr>
          <w:p w14:paraId="541E1750" w14:textId="139E5C00" w:rsidR="00492985" w:rsidRPr="00C7412C" w:rsidRDefault="00492985" w:rsidP="00D7679B">
            <w:pPr>
              <w:spacing w:beforeLines="20" w:before="48" w:afterLines="20" w:after="48"/>
              <w:jc w:val="center"/>
              <w:rPr>
                <w:rFonts w:cstheme="minorHAnsi"/>
                <w:b/>
                <w:sz w:val="20"/>
                <w:szCs w:val="20"/>
              </w:rPr>
            </w:pPr>
            <w:r w:rsidRPr="00C7412C">
              <w:rPr>
                <w:rFonts w:cstheme="minorHAnsi"/>
                <w:b/>
                <w:sz w:val="20"/>
                <w:szCs w:val="20"/>
              </w:rPr>
              <w:t>Source</w:t>
            </w:r>
          </w:p>
        </w:tc>
      </w:tr>
      <w:tr w:rsidR="008F3632" w:rsidRPr="0001609E" w14:paraId="52F0794D" w14:textId="77777777" w:rsidTr="00D7679B">
        <w:trPr>
          <w:cantSplit/>
          <w:trHeight w:val="20"/>
        </w:trPr>
        <w:tc>
          <w:tcPr>
            <w:tcW w:w="9445" w:type="dxa"/>
            <w:gridSpan w:val="3"/>
            <w:vAlign w:val="center"/>
          </w:tcPr>
          <w:p w14:paraId="6762C36F" w14:textId="39486F13" w:rsidR="008F3632" w:rsidRPr="0053222D" w:rsidRDefault="008F3632" w:rsidP="00D7679B">
            <w:pPr>
              <w:spacing w:beforeLines="20" w:before="48" w:afterLines="20" w:after="48" w:line="240" w:lineRule="auto"/>
              <w:rPr>
                <w:rFonts w:cs="Calibri Light"/>
                <w:i/>
                <w:iCs/>
                <w:sz w:val="18"/>
                <w:szCs w:val="20"/>
              </w:rPr>
            </w:pPr>
            <w:r w:rsidRPr="0053222D">
              <w:rPr>
                <w:rFonts w:cstheme="minorHAnsi"/>
                <w:i/>
                <w:iCs/>
                <w:sz w:val="20"/>
                <w:szCs w:val="20"/>
              </w:rPr>
              <w:t xml:space="preserve">New application types– New application types for variable flow water loop, VSD pump </w:t>
            </w:r>
            <w:r w:rsidRPr="0053222D">
              <w:rPr>
                <w:rFonts w:cstheme="minorHAnsi"/>
                <w:i/>
                <w:iCs/>
                <w:sz w:val="20"/>
                <w:szCs w:val="20"/>
              </w:rPr>
              <w:br/>
              <w:t xml:space="preserve">(used for the </w:t>
            </w:r>
            <w:r w:rsidR="00A5765D">
              <w:rPr>
                <w:rFonts w:cstheme="minorHAnsi"/>
                <w:i/>
                <w:iCs/>
                <w:sz w:val="20"/>
                <w:szCs w:val="20"/>
              </w:rPr>
              <w:t>VSD</w:t>
            </w:r>
            <w:r w:rsidR="00A5765D" w:rsidRPr="0053222D">
              <w:rPr>
                <w:rFonts w:cstheme="minorHAnsi"/>
                <w:i/>
                <w:iCs/>
                <w:sz w:val="20"/>
                <w:szCs w:val="20"/>
              </w:rPr>
              <w:t xml:space="preserve"> </w:t>
            </w:r>
            <w:r w:rsidRPr="0053222D">
              <w:rPr>
                <w:rFonts w:cstheme="minorHAnsi"/>
                <w:i/>
                <w:iCs/>
                <w:sz w:val="20"/>
                <w:szCs w:val="20"/>
              </w:rPr>
              <w:t>on condenser water pump)</w:t>
            </w:r>
          </w:p>
        </w:tc>
      </w:tr>
      <w:tr w:rsidR="006C1EAE" w:rsidRPr="0001609E" w14:paraId="612D79C3" w14:textId="77777777" w:rsidTr="00D7679B">
        <w:trPr>
          <w:cantSplit/>
          <w:trHeight w:val="20"/>
        </w:trPr>
        <w:tc>
          <w:tcPr>
            <w:tcW w:w="2245" w:type="dxa"/>
          </w:tcPr>
          <w:p w14:paraId="10CCD13E" w14:textId="3F4DAA81" w:rsidR="006C1EAE" w:rsidRPr="00257D08" w:rsidRDefault="006C1EAE" w:rsidP="00D7679B">
            <w:pPr>
              <w:spacing w:beforeLines="20" w:before="48" w:afterLines="20" w:after="48"/>
              <w:rPr>
                <w:rFonts w:cstheme="minorHAnsi"/>
                <w:sz w:val="20"/>
                <w:szCs w:val="20"/>
              </w:rPr>
            </w:pPr>
            <w:r w:rsidRPr="00257D08">
              <w:rPr>
                <w:rFonts w:cstheme="minorHAnsi"/>
                <w:sz w:val="20"/>
                <w:szCs w:val="20"/>
              </w:rPr>
              <w:t xml:space="preserve">EUL (yrs) </w:t>
            </w:r>
          </w:p>
        </w:tc>
        <w:tc>
          <w:tcPr>
            <w:tcW w:w="1350" w:type="dxa"/>
          </w:tcPr>
          <w:p w14:paraId="1C83EB14" w14:textId="53C35B3D" w:rsidR="006C1EAE" w:rsidRPr="00C7412C" w:rsidRDefault="00257D08" w:rsidP="00D7679B">
            <w:pPr>
              <w:spacing w:beforeLines="20" w:before="48" w:afterLines="20" w:after="48"/>
              <w:jc w:val="center"/>
              <w:rPr>
                <w:sz w:val="20"/>
                <w:szCs w:val="20"/>
              </w:rPr>
            </w:pPr>
            <w:r w:rsidRPr="00C7412C">
              <w:rPr>
                <w:sz w:val="20"/>
                <w:szCs w:val="20"/>
              </w:rPr>
              <w:t>15.0</w:t>
            </w:r>
          </w:p>
        </w:tc>
        <w:tc>
          <w:tcPr>
            <w:tcW w:w="5850" w:type="dxa"/>
          </w:tcPr>
          <w:p w14:paraId="3DEE88B1" w14:textId="2192F619" w:rsidR="000A33B5" w:rsidRPr="00D7679B" w:rsidRDefault="000A33B5" w:rsidP="008F3632">
            <w:pPr>
              <w:spacing w:beforeLines="20" w:before="48" w:afterLines="20" w:after="48" w:line="240" w:lineRule="auto"/>
              <w:rPr>
                <w:sz w:val="18"/>
                <w:szCs w:val="18"/>
              </w:rPr>
            </w:pPr>
            <w:r w:rsidRPr="00D7679B">
              <w:rPr>
                <w:sz w:val="18"/>
                <w:szCs w:val="18"/>
              </w:rPr>
              <w:t xml:space="preserve">San Diego Gas &amp; Electric (SDG&amp;E). 2003. </w:t>
            </w:r>
            <w:r w:rsidRPr="00D7679B">
              <w:rPr>
                <w:rStyle w:val="Emphasis"/>
                <w:sz w:val="18"/>
                <w:szCs w:val="18"/>
              </w:rPr>
              <w:t>1996 &amp; 1997 Agricultural Energy Efficiency Incentives Sixth Year Retention Evaluation</w:t>
            </w:r>
            <w:r w:rsidRPr="00D7679B">
              <w:rPr>
                <w:sz w:val="18"/>
                <w:szCs w:val="18"/>
              </w:rPr>
              <w:t>. Study ID Nos. 1000 &amp; 1024.</w:t>
            </w:r>
          </w:p>
          <w:p w14:paraId="539B6F04" w14:textId="37B16AFF" w:rsidR="000A33B5" w:rsidRPr="00D7679B" w:rsidRDefault="000A33B5" w:rsidP="008F3632">
            <w:pPr>
              <w:spacing w:beforeLines="20" w:before="48" w:afterLines="20" w:after="48" w:line="240" w:lineRule="auto"/>
              <w:rPr>
                <w:sz w:val="18"/>
                <w:szCs w:val="18"/>
              </w:rPr>
            </w:pPr>
            <w:r w:rsidRPr="00D7679B">
              <w:rPr>
                <w:sz w:val="18"/>
                <w:szCs w:val="18"/>
              </w:rPr>
              <w:t>San Diego Gas &amp; Electric (SDG&amp;E), Marketing Programs &amp; Planning. 2004. </w:t>
            </w:r>
            <w:r w:rsidRPr="00D7679B">
              <w:rPr>
                <w:rStyle w:val="Emphasis"/>
                <w:sz w:val="18"/>
                <w:szCs w:val="18"/>
              </w:rPr>
              <w:t>1994 &amp; 1995 Commercial Energy Efficiency Incentives Ninth Year Retention Evaluation</w:t>
            </w:r>
            <w:r w:rsidRPr="00D7679B">
              <w:rPr>
                <w:sz w:val="18"/>
                <w:szCs w:val="18"/>
              </w:rPr>
              <w:t>. Study ID Nos. 925 &amp; 961.</w:t>
            </w:r>
          </w:p>
          <w:p w14:paraId="2C629A92" w14:textId="44112899" w:rsidR="00BE3B1D" w:rsidRPr="00D7679B" w:rsidRDefault="00BE3B1D" w:rsidP="008F3632">
            <w:pPr>
              <w:spacing w:beforeLines="20" w:before="48" w:afterLines="20" w:after="48" w:line="240" w:lineRule="auto"/>
              <w:rPr>
                <w:sz w:val="18"/>
                <w:szCs w:val="18"/>
              </w:rPr>
            </w:pPr>
            <w:r w:rsidRPr="00D7679B">
              <w:rPr>
                <w:sz w:val="18"/>
                <w:szCs w:val="18"/>
              </w:rPr>
              <w:t xml:space="preserve">San Diego Gas &amp; Electric (SDG&amp;E), Marketing Programs &amp; Planning. 2006. </w:t>
            </w:r>
            <w:r w:rsidRPr="00D7679B">
              <w:rPr>
                <w:i/>
                <w:iCs/>
                <w:sz w:val="18"/>
                <w:szCs w:val="18"/>
              </w:rPr>
              <w:t>1996 &amp; 1997 Nonresidential New Construction Program Ninth Year Retention Evaluation.</w:t>
            </w:r>
            <w:r w:rsidRPr="00D7679B">
              <w:rPr>
                <w:sz w:val="18"/>
                <w:szCs w:val="18"/>
              </w:rPr>
              <w:t xml:space="preserve"> Study ID No 1006.</w:t>
            </w:r>
          </w:p>
          <w:p w14:paraId="0BDE108C" w14:textId="78BC52EC" w:rsidR="000A33B5" w:rsidRPr="00BE3B1D" w:rsidRDefault="000A33B5" w:rsidP="00D7679B">
            <w:pPr>
              <w:spacing w:beforeLines="20" w:before="48" w:afterLines="20" w:after="48" w:line="240" w:lineRule="auto"/>
              <w:rPr>
                <w:rFonts w:cs="Calibri Light"/>
                <w:sz w:val="18"/>
                <w:szCs w:val="18"/>
              </w:rPr>
            </w:pPr>
            <w:r w:rsidRPr="00D7679B">
              <w:rPr>
                <w:sz w:val="18"/>
                <w:szCs w:val="18"/>
              </w:rPr>
              <w:t xml:space="preserve">ADM Associates, Inc. 2003. </w:t>
            </w:r>
            <w:r w:rsidRPr="00D7679B">
              <w:rPr>
                <w:rStyle w:val="Emphasis"/>
                <w:sz w:val="18"/>
                <w:szCs w:val="18"/>
              </w:rPr>
              <w:t>Southern California Edison Commercial/Industrial/Agricultural Energy Efficiency Incentives Program Retention Study</w:t>
            </w:r>
            <w:r w:rsidRPr="00D7679B">
              <w:rPr>
                <w:sz w:val="18"/>
                <w:szCs w:val="18"/>
              </w:rPr>
              <w:t>. Prepared for Southern California Edison Company. </w:t>
            </w:r>
          </w:p>
        </w:tc>
      </w:tr>
      <w:tr w:rsidR="00257D08" w:rsidRPr="0001609E" w14:paraId="10BF2669" w14:textId="77777777" w:rsidTr="00D7679B">
        <w:trPr>
          <w:cantSplit/>
          <w:trHeight w:val="20"/>
        </w:trPr>
        <w:tc>
          <w:tcPr>
            <w:tcW w:w="2245" w:type="dxa"/>
          </w:tcPr>
          <w:p w14:paraId="62009AAE" w14:textId="4C023654" w:rsidR="00257D08" w:rsidRPr="0001609E" w:rsidRDefault="00257D08" w:rsidP="00D7679B">
            <w:pPr>
              <w:spacing w:beforeLines="20" w:before="48" w:afterLines="20" w:after="48"/>
              <w:rPr>
                <w:sz w:val="20"/>
                <w:szCs w:val="20"/>
              </w:rPr>
            </w:pPr>
            <w:r w:rsidRPr="0001609E">
              <w:rPr>
                <w:rFonts w:cstheme="minorHAnsi"/>
                <w:sz w:val="20"/>
                <w:szCs w:val="20"/>
              </w:rPr>
              <w:t>RUL (yrs)</w:t>
            </w:r>
            <w:r>
              <w:rPr>
                <w:rFonts w:cstheme="minorHAnsi"/>
                <w:sz w:val="20"/>
                <w:szCs w:val="20"/>
              </w:rPr>
              <w:t xml:space="preserve"> - </w:t>
            </w:r>
          </w:p>
        </w:tc>
        <w:tc>
          <w:tcPr>
            <w:tcW w:w="1350" w:type="dxa"/>
          </w:tcPr>
          <w:p w14:paraId="4C3AFAEC" w14:textId="0AB599FA" w:rsidR="00257D08" w:rsidRPr="00C7412C" w:rsidRDefault="00257D08" w:rsidP="00D7679B">
            <w:pPr>
              <w:spacing w:beforeLines="20" w:before="48" w:afterLines="20" w:after="48"/>
              <w:jc w:val="center"/>
              <w:rPr>
                <w:sz w:val="20"/>
                <w:szCs w:val="20"/>
              </w:rPr>
            </w:pPr>
            <w:r w:rsidRPr="00C7412C">
              <w:rPr>
                <w:sz w:val="20"/>
                <w:szCs w:val="20"/>
              </w:rPr>
              <w:t>5.0</w:t>
            </w:r>
          </w:p>
        </w:tc>
        <w:tc>
          <w:tcPr>
            <w:tcW w:w="5850" w:type="dxa"/>
          </w:tcPr>
          <w:p w14:paraId="0DB9174A" w14:textId="77777777" w:rsidR="00257D08" w:rsidRPr="00C7412C" w:rsidRDefault="00257D08" w:rsidP="00D7679B">
            <w:pPr>
              <w:spacing w:beforeLines="20" w:before="48" w:afterLines="20" w:after="48"/>
              <w:jc w:val="center"/>
              <w:rPr>
                <w:sz w:val="20"/>
                <w:szCs w:val="20"/>
              </w:rPr>
            </w:pPr>
          </w:p>
        </w:tc>
      </w:tr>
      <w:tr w:rsidR="008F3632" w:rsidRPr="0001609E" w14:paraId="22ECB2E0" w14:textId="77777777" w:rsidTr="00D7679B">
        <w:trPr>
          <w:cantSplit/>
          <w:trHeight w:val="20"/>
        </w:trPr>
        <w:tc>
          <w:tcPr>
            <w:tcW w:w="9445" w:type="dxa"/>
            <w:gridSpan w:val="3"/>
            <w:vAlign w:val="center"/>
          </w:tcPr>
          <w:p w14:paraId="09051469" w14:textId="09155BF5" w:rsidR="008F3632" w:rsidRPr="0053222D" w:rsidRDefault="008F3632" w:rsidP="00D7679B">
            <w:pPr>
              <w:spacing w:beforeLines="20" w:before="48" w:afterLines="20" w:after="48"/>
              <w:rPr>
                <w:i/>
                <w:iCs/>
                <w:sz w:val="20"/>
                <w:szCs w:val="20"/>
              </w:rPr>
            </w:pPr>
            <w:r w:rsidRPr="0053222D">
              <w:rPr>
                <w:rFonts w:cstheme="minorHAnsi"/>
                <w:i/>
                <w:iCs/>
                <w:sz w:val="20"/>
                <w:szCs w:val="20"/>
              </w:rPr>
              <w:lastRenderedPageBreak/>
              <w:t xml:space="preserve">Add-on equipment application types for variable flow water loop, VSD pump </w:t>
            </w:r>
            <w:r w:rsidR="0053222D" w:rsidRPr="0053222D">
              <w:rPr>
                <w:rFonts w:cstheme="minorHAnsi"/>
                <w:i/>
                <w:iCs/>
                <w:sz w:val="20"/>
                <w:szCs w:val="20"/>
              </w:rPr>
              <w:br/>
            </w:r>
            <w:r w:rsidRPr="0053222D">
              <w:rPr>
                <w:rFonts w:cstheme="minorHAnsi"/>
                <w:i/>
                <w:iCs/>
                <w:sz w:val="20"/>
                <w:szCs w:val="20"/>
              </w:rPr>
              <w:t xml:space="preserve">(used for the </w:t>
            </w:r>
            <w:r w:rsidR="00A5765D">
              <w:rPr>
                <w:rFonts w:cstheme="minorHAnsi"/>
                <w:i/>
                <w:iCs/>
                <w:sz w:val="20"/>
                <w:szCs w:val="20"/>
              </w:rPr>
              <w:t>VSD</w:t>
            </w:r>
            <w:r w:rsidR="00A5765D" w:rsidRPr="0053222D">
              <w:rPr>
                <w:rFonts w:cstheme="minorHAnsi"/>
                <w:i/>
                <w:iCs/>
                <w:sz w:val="20"/>
                <w:szCs w:val="20"/>
              </w:rPr>
              <w:t xml:space="preserve"> </w:t>
            </w:r>
            <w:r w:rsidRPr="0053222D">
              <w:rPr>
                <w:rFonts w:cstheme="minorHAnsi"/>
                <w:i/>
                <w:iCs/>
                <w:sz w:val="20"/>
                <w:szCs w:val="20"/>
              </w:rPr>
              <w:t xml:space="preserve">on chilled water pump and </w:t>
            </w:r>
            <w:r w:rsidR="00A5765D">
              <w:rPr>
                <w:rFonts w:cstheme="minorHAnsi"/>
                <w:i/>
                <w:iCs/>
                <w:sz w:val="20"/>
                <w:szCs w:val="20"/>
              </w:rPr>
              <w:t>VSD</w:t>
            </w:r>
            <w:r w:rsidR="00A5765D" w:rsidRPr="0053222D">
              <w:rPr>
                <w:rFonts w:cstheme="minorHAnsi"/>
                <w:i/>
                <w:iCs/>
                <w:sz w:val="20"/>
                <w:szCs w:val="20"/>
              </w:rPr>
              <w:t xml:space="preserve"> </w:t>
            </w:r>
            <w:r w:rsidRPr="0053222D">
              <w:rPr>
                <w:rFonts w:cstheme="minorHAnsi"/>
                <w:i/>
                <w:iCs/>
                <w:sz w:val="20"/>
                <w:szCs w:val="20"/>
              </w:rPr>
              <w:t>on condenser water pump)</w:t>
            </w:r>
          </w:p>
        </w:tc>
      </w:tr>
      <w:tr w:rsidR="00257D08" w:rsidRPr="0001609E" w14:paraId="44C3A31F" w14:textId="77777777" w:rsidTr="00D7679B">
        <w:trPr>
          <w:cantSplit/>
          <w:trHeight w:val="20"/>
        </w:trPr>
        <w:tc>
          <w:tcPr>
            <w:tcW w:w="2245" w:type="dxa"/>
          </w:tcPr>
          <w:p w14:paraId="07E7CCA3" w14:textId="453785E9" w:rsidR="00257D08" w:rsidRPr="00257D08" w:rsidRDefault="00257D08" w:rsidP="00D7679B">
            <w:pPr>
              <w:spacing w:beforeLines="20" w:before="48" w:afterLines="20" w:after="48"/>
              <w:rPr>
                <w:sz w:val="20"/>
                <w:szCs w:val="20"/>
              </w:rPr>
            </w:pPr>
            <w:r w:rsidRPr="00257D08">
              <w:rPr>
                <w:rFonts w:cstheme="minorHAnsi"/>
                <w:sz w:val="20"/>
                <w:szCs w:val="20"/>
              </w:rPr>
              <w:t xml:space="preserve">EUL (yrs) </w:t>
            </w:r>
          </w:p>
        </w:tc>
        <w:tc>
          <w:tcPr>
            <w:tcW w:w="1350" w:type="dxa"/>
          </w:tcPr>
          <w:p w14:paraId="62A24CF3" w14:textId="2055AF0F" w:rsidR="00257D08" w:rsidRPr="00C7412C" w:rsidRDefault="00257D08" w:rsidP="00D7679B">
            <w:pPr>
              <w:spacing w:beforeLines="20" w:before="48" w:afterLines="20" w:after="48"/>
              <w:jc w:val="center"/>
              <w:rPr>
                <w:sz w:val="20"/>
                <w:szCs w:val="20"/>
              </w:rPr>
            </w:pPr>
            <w:r w:rsidRPr="00C7412C">
              <w:rPr>
                <w:sz w:val="20"/>
                <w:szCs w:val="20"/>
              </w:rPr>
              <w:t>5.0</w:t>
            </w:r>
          </w:p>
        </w:tc>
        <w:tc>
          <w:tcPr>
            <w:tcW w:w="5850" w:type="dxa"/>
          </w:tcPr>
          <w:p w14:paraId="076EE7EA" w14:textId="77777777" w:rsidR="00257D08" w:rsidRPr="00C7412C" w:rsidRDefault="00257D08" w:rsidP="00D7679B">
            <w:pPr>
              <w:spacing w:beforeLines="20" w:before="48" w:afterLines="20" w:after="48"/>
              <w:jc w:val="center"/>
              <w:rPr>
                <w:sz w:val="20"/>
                <w:szCs w:val="20"/>
              </w:rPr>
            </w:pPr>
          </w:p>
        </w:tc>
      </w:tr>
    </w:tbl>
    <w:p w14:paraId="21BBC22B" w14:textId="77777777" w:rsidR="007D230B" w:rsidRPr="0001609E" w:rsidRDefault="007D230B" w:rsidP="004142EF"/>
    <w:p w14:paraId="3B14B593" w14:textId="1610AB6E" w:rsidR="007D230B" w:rsidRPr="0001609E" w:rsidRDefault="007D230B" w:rsidP="0016415E">
      <w:pPr>
        <w:pStyle w:val="eTRMHeading3"/>
      </w:pPr>
      <w:bookmarkStart w:id="52" w:name="_Toc486490860"/>
      <w:bookmarkStart w:id="53" w:name="_Toc486580931"/>
      <w:bookmarkStart w:id="54" w:name="_Toc12448789"/>
      <w:r w:rsidRPr="0001609E">
        <w:t>Base Case Material Cost ($/unit)</w:t>
      </w:r>
      <w:bookmarkEnd w:id="52"/>
      <w:bookmarkEnd w:id="53"/>
      <w:bookmarkEnd w:id="54"/>
    </w:p>
    <w:p w14:paraId="50520DD9" w14:textId="4AB59328" w:rsidR="009A3DEF" w:rsidRPr="0033544A" w:rsidRDefault="008D1925" w:rsidP="009A3DEF">
      <w:pPr>
        <w:rPr>
          <w:rFonts w:cstheme="minorHAnsi"/>
          <w:i/>
        </w:rPr>
      </w:pPr>
      <w:r>
        <w:rPr>
          <w:rFonts w:cstheme="minorHAnsi"/>
        </w:rPr>
        <w:t>T</w:t>
      </w:r>
      <w:r w:rsidR="009A3DEF" w:rsidRPr="0033544A">
        <w:rPr>
          <w:rFonts w:cstheme="minorHAnsi"/>
        </w:rPr>
        <w:t xml:space="preserve">he base case cost is assumed to be </w:t>
      </w:r>
      <w:r w:rsidR="00FA124C">
        <w:rPr>
          <w:rFonts w:cstheme="minorHAnsi"/>
        </w:rPr>
        <w:t>$0</w:t>
      </w:r>
      <w:r w:rsidR="009A3DEF" w:rsidRPr="0033544A">
        <w:rPr>
          <w:rFonts w:cstheme="minorHAnsi"/>
        </w:rPr>
        <w:t xml:space="preserve"> </w:t>
      </w:r>
      <w:r>
        <w:rPr>
          <w:rFonts w:cstheme="minorHAnsi"/>
        </w:rPr>
        <w:t xml:space="preserve">for add-on </w:t>
      </w:r>
      <w:r w:rsidR="00A107E7">
        <w:rPr>
          <w:rFonts w:cstheme="minorHAnsi"/>
        </w:rPr>
        <w:t xml:space="preserve">equipment </w:t>
      </w:r>
      <w:r>
        <w:rPr>
          <w:rFonts w:cstheme="minorHAnsi"/>
        </w:rPr>
        <w:t xml:space="preserve">application types </w:t>
      </w:r>
      <w:r w:rsidR="009A3DEF" w:rsidRPr="0033544A">
        <w:rPr>
          <w:rFonts w:cstheme="minorHAnsi"/>
        </w:rPr>
        <w:t xml:space="preserve">because these </w:t>
      </w:r>
      <w:r>
        <w:rPr>
          <w:rFonts w:cstheme="minorHAnsi"/>
        </w:rPr>
        <w:t xml:space="preserve">measure offerings </w:t>
      </w:r>
      <w:r w:rsidR="009A3DEF" w:rsidRPr="0033544A">
        <w:rPr>
          <w:rFonts w:cstheme="minorHAnsi"/>
        </w:rPr>
        <w:t xml:space="preserve">are </w:t>
      </w:r>
      <w:r>
        <w:rPr>
          <w:rFonts w:cstheme="minorHAnsi"/>
        </w:rPr>
        <w:t xml:space="preserve">considered </w:t>
      </w:r>
      <w:r w:rsidR="009A3DEF" w:rsidRPr="0033544A">
        <w:rPr>
          <w:rFonts w:cstheme="minorHAnsi"/>
        </w:rPr>
        <w:t xml:space="preserve">discretionary modifications to the customer existing equipment.  </w:t>
      </w:r>
      <w:r w:rsidR="00FA124C">
        <w:rPr>
          <w:rFonts w:cstheme="minorHAnsi"/>
        </w:rPr>
        <w:t>The customer’s</w:t>
      </w:r>
      <w:r w:rsidR="009A3DEF" w:rsidRPr="0033544A">
        <w:rPr>
          <w:rFonts w:cstheme="minorHAnsi"/>
        </w:rPr>
        <w:t xml:space="preserve"> alternative is to make no changes to </w:t>
      </w:r>
      <w:r w:rsidR="00FA124C">
        <w:rPr>
          <w:rFonts w:cstheme="minorHAnsi"/>
        </w:rPr>
        <w:t>the</w:t>
      </w:r>
      <w:r w:rsidR="009A3DEF" w:rsidRPr="0033544A">
        <w:rPr>
          <w:rFonts w:cstheme="minorHAnsi"/>
        </w:rPr>
        <w:t xml:space="preserve"> existing system.  </w:t>
      </w:r>
    </w:p>
    <w:p w14:paraId="3FF33779" w14:textId="23556386" w:rsidR="009A3DEF" w:rsidRDefault="00FA124C" w:rsidP="009A3DEF">
      <w:pPr>
        <w:rPr>
          <w:rFonts w:cstheme="minorHAnsi"/>
        </w:rPr>
      </w:pPr>
      <w:r>
        <w:rPr>
          <w:rFonts w:cstheme="minorHAnsi"/>
        </w:rPr>
        <w:t>T</w:t>
      </w:r>
      <w:r w:rsidRPr="0033544A">
        <w:rPr>
          <w:rFonts w:cstheme="minorHAnsi"/>
        </w:rPr>
        <w:t xml:space="preserve">he base case cost is assumed to be </w:t>
      </w:r>
      <w:r>
        <w:rPr>
          <w:rFonts w:cstheme="minorHAnsi"/>
        </w:rPr>
        <w:t>$0</w:t>
      </w:r>
      <w:r w:rsidRPr="0033544A">
        <w:rPr>
          <w:rFonts w:cstheme="minorHAnsi"/>
        </w:rPr>
        <w:t xml:space="preserve"> </w:t>
      </w:r>
      <w:r>
        <w:rPr>
          <w:rFonts w:cstheme="minorHAnsi"/>
        </w:rPr>
        <w:t>for new construction application types because</w:t>
      </w:r>
      <w:r w:rsidR="009A3DEF" w:rsidRPr="0033544A">
        <w:rPr>
          <w:rFonts w:cstheme="minorHAnsi"/>
        </w:rPr>
        <w:t xml:space="preserve"> the base case </w:t>
      </w:r>
      <w:r>
        <w:rPr>
          <w:rFonts w:cstheme="minorHAnsi"/>
        </w:rPr>
        <w:t xml:space="preserve">is defined as </w:t>
      </w:r>
      <w:r w:rsidR="009A3DEF" w:rsidRPr="0033544A">
        <w:rPr>
          <w:rFonts w:cstheme="minorHAnsi"/>
        </w:rPr>
        <w:t>the existing equipment</w:t>
      </w:r>
      <w:r w:rsidR="009A3DEF">
        <w:rPr>
          <w:rFonts w:cstheme="minorHAnsi"/>
        </w:rPr>
        <w:t>,</w:t>
      </w:r>
      <w:r w:rsidR="009A3DEF" w:rsidRPr="0033544A">
        <w:rPr>
          <w:rFonts w:cstheme="minorHAnsi"/>
        </w:rPr>
        <w:t xml:space="preserve"> which does not require replacement.   </w:t>
      </w:r>
    </w:p>
    <w:p w14:paraId="2486ACF5" w14:textId="77777777" w:rsidR="007D230B" w:rsidRPr="0001609E" w:rsidRDefault="007D230B" w:rsidP="004142EF"/>
    <w:p w14:paraId="44E8DBEB" w14:textId="3BBFE540" w:rsidR="007D230B" w:rsidRDefault="007D230B" w:rsidP="0016415E">
      <w:pPr>
        <w:pStyle w:val="eTRMHeading3"/>
      </w:pPr>
      <w:bookmarkStart w:id="55" w:name="_Toc486490861"/>
      <w:bookmarkStart w:id="56" w:name="_Toc486580932"/>
      <w:bookmarkStart w:id="57" w:name="_Toc12448790"/>
      <w:r w:rsidRPr="0001609E">
        <w:t>Measure Case Material Cost ($/unit)</w:t>
      </w:r>
      <w:bookmarkEnd w:id="55"/>
      <w:bookmarkEnd w:id="56"/>
      <w:bookmarkEnd w:id="57"/>
    </w:p>
    <w:p w14:paraId="3316241F" w14:textId="2E20C214" w:rsidR="009A3DEF" w:rsidRDefault="009A3DEF" w:rsidP="009A3DEF">
      <w:pPr>
        <w:rPr>
          <w:rFonts w:cstheme="minorHAnsi"/>
        </w:rPr>
      </w:pPr>
      <w:r>
        <w:t xml:space="preserve">The </w:t>
      </w:r>
      <w:r w:rsidR="00FA124C">
        <w:t xml:space="preserve">measure case material </w:t>
      </w:r>
      <w:r>
        <w:t xml:space="preserve">cost </w:t>
      </w:r>
      <w:r w:rsidR="00BB38D4">
        <w:t xml:space="preserve">and labor </w:t>
      </w:r>
      <w:r w:rsidR="000C60E3">
        <w:t>were</w:t>
      </w:r>
      <w:r w:rsidR="00FA124C">
        <w:t xml:space="preserve"> derived from the</w:t>
      </w:r>
      <w:r>
        <w:t xml:space="preserve"> </w:t>
      </w:r>
      <w:r>
        <w:rPr>
          <w:rFonts w:cstheme="minorHAnsi"/>
        </w:rPr>
        <w:t>2018 RSMeans Electrical Cost</w:t>
      </w:r>
      <w:r w:rsidR="005331FC">
        <w:rPr>
          <w:rFonts w:cstheme="minorHAnsi"/>
        </w:rPr>
        <w:t>s</w:t>
      </w:r>
      <w:r w:rsidR="00D830DC">
        <w:rPr>
          <w:rFonts w:cstheme="minorHAnsi"/>
        </w:rPr>
        <w:t>.</w:t>
      </w:r>
      <w:r w:rsidR="00B24F41">
        <w:rPr>
          <w:rStyle w:val="FootnoteReference"/>
          <w:rFonts w:cstheme="minorHAnsi"/>
        </w:rPr>
        <w:footnoteReference w:id="14"/>
      </w:r>
      <w:r>
        <w:rPr>
          <w:rFonts w:cstheme="minorHAnsi"/>
        </w:rPr>
        <w:t xml:space="preserve"> The installed equipment </w:t>
      </w:r>
      <w:r w:rsidR="00683028">
        <w:rPr>
          <w:rFonts w:cstheme="minorHAnsi"/>
        </w:rPr>
        <w:t>is</w:t>
      </w:r>
      <w:r>
        <w:rPr>
          <w:rFonts w:cstheme="minorHAnsi"/>
        </w:rPr>
        <w:t xml:space="preserve"> </w:t>
      </w:r>
      <w:r w:rsidR="00FA124C">
        <w:rPr>
          <w:rFonts w:cstheme="minorHAnsi"/>
        </w:rPr>
        <w:t xml:space="preserve">a </w:t>
      </w:r>
      <w:r>
        <w:rPr>
          <w:rFonts w:cstheme="minorHAnsi"/>
        </w:rPr>
        <w:t xml:space="preserve">new </w:t>
      </w:r>
      <w:r w:rsidR="00FA124C">
        <w:rPr>
          <w:rFonts w:cstheme="minorHAnsi"/>
        </w:rPr>
        <w:t xml:space="preserve">variable </w:t>
      </w:r>
      <w:r w:rsidR="00A5765D">
        <w:rPr>
          <w:rFonts w:cstheme="minorHAnsi"/>
        </w:rPr>
        <w:t xml:space="preserve">speed </w:t>
      </w:r>
      <w:r w:rsidR="00FA124C">
        <w:rPr>
          <w:rFonts w:cstheme="minorHAnsi"/>
        </w:rPr>
        <w:t>drive (</w:t>
      </w:r>
      <w:r w:rsidR="00A5765D">
        <w:rPr>
          <w:rFonts w:cstheme="minorHAnsi"/>
        </w:rPr>
        <w:t>VSD</w:t>
      </w:r>
      <w:r w:rsidR="00FA124C">
        <w:rPr>
          <w:rFonts w:cstheme="minorHAnsi"/>
        </w:rPr>
        <w:t>)</w:t>
      </w:r>
      <w:r>
        <w:rPr>
          <w:rFonts w:cstheme="minorHAnsi"/>
        </w:rPr>
        <w:t xml:space="preserve">, 3-Phase, 460 volts, with enclosed (NEMA 1) or </w:t>
      </w:r>
      <w:r w:rsidR="00683028">
        <w:rPr>
          <w:rFonts w:cstheme="minorHAnsi"/>
        </w:rPr>
        <w:t xml:space="preserve">a </w:t>
      </w:r>
      <w:r>
        <w:rPr>
          <w:rFonts w:cstheme="minorHAnsi"/>
        </w:rPr>
        <w:t xml:space="preserve">custom engineered </w:t>
      </w:r>
      <w:r w:rsidR="00A5765D">
        <w:rPr>
          <w:rFonts w:cstheme="minorHAnsi"/>
        </w:rPr>
        <w:t>VSD</w:t>
      </w:r>
      <w:r>
        <w:rPr>
          <w:rFonts w:cstheme="minorHAnsi"/>
        </w:rPr>
        <w:t xml:space="preserve">. </w:t>
      </w:r>
    </w:p>
    <w:p w14:paraId="591CAB0C" w14:textId="6D54777D" w:rsidR="009A3DEF" w:rsidRDefault="009A3DEF" w:rsidP="009A3DEF">
      <w:r w:rsidRPr="00FD78DF">
        <w:t xml:space="preserve">The average total cost of </w:t>
      </w:r>
      <w:r w:rsidR="00FA124C">
        <w:t xml:space="preserve">a </w:t>
      </w:r>
      <w:r w:rsidR="00A5765D">
        <w:t>VSD</w:t>
      </w:r>
      <w:r w:rsidR="00A5765D" w:rsidRPr="00FD78DF">
        <w:t xml:space="preserve"> </w:t>
      </w:r>
      <w:r w:rsidRPr="00FD78DF">
        <w:t xml:space="preserve">per </w:t>
      </w:r>
      <w:r w:rsidR="00FA124C">
        <w:t>nominal horsepower</w:t>
      </w:r>
      <w:r w:rsidRPr="00FD78DF">
        <w:t xml:space="preserve"> </w:t>
      </w:r>
      <w:r w:rsidR="00FA124C">
        <w:t>for</w:t>
      </w:r>
      <w:r w:rsidRPr="00FD78DF">
        <w:t xml:space="preserve"> CHWP and CWP motor</w:t>
      </w:r>
      <w:r w:rsidR="00FA124C">
        <w:t>s</w:t>
      </w:r>
      <w:r w:rsidRPr="00FD78DF">
        <w:t xml:space="preserve"> </w:t>
      </w:r>
      <w:r w:rsidR="00FA124C">
        <w:t>was</w:t>
      </w:r>
      <w:r w:rsidRPr="00FD78DF">
        <w:t xml:space="preserve"> calculated </w:t>
      </w:r>
      <w:r w:rsidR="00FA124C">
        <w:t>as</w:t>
      </w:r>
      <w:r w:rsidRPr="00FD78DF">
        <w:t xml:space="preserve"> the average </w:t>
      </w:r>
      <w:r w:rsidR="00FA124C">
        <w:t>cost per horsepower for</w:t>
      </w:r>
      <w:r w:rsidRPr="00FD78DF">
        <w:t xml:space="preserve"> </w:t>
      </w:r>
      <w:r w:rsidR="00FA124C">
        <w:t xml:space="preserve">motors </w:t>
      </w:r>
      <w:r w:rsidRPr="00FD78DF">
        <w:t>3</w:t>
      </w:r>
      <w:r w:rsidR="00FA124C">
        <w:t xml:space="preserve"> hp</w:t>
      </w:r>
      <w:r w:rsidRPr="00FD78DF">
        <w:t xml:space="preserve"> to 200</w:t>
      </w:r>
      <w:r w:rsidR="00FA124C">
        <w:t xml:space="preserve"> hp</w:t>
      </w:r>
      <w:r w:rsidRPr="00FD78DF">
        <w:t xml:space="preserve"> for enclosed and custom engineered </w:t>
      </w:r>
      <w:r w:rsidR="00A5765D">
        <w:t>VSDs</w:t>
      </w:r>
      <w:r w:rsidRPr="00FD78DF">
        <w:t>.</w:t>
      </w:r>
      <w:r w:rsidR="00FA124C">
        <w:rPr>
          <w:rStyle w:val="FootnoteReference"/>
        </w:rPr>
        <w:footnoteReference w:id="15"/>
      </w:r>
      <w:r w:rsidRPr="00FD78DF">
        <w:t xml:space="preserve"> </w:t>
      </w:r>
    </w:p>
    <w:p w14:paraId="4BCA98E0" w14:textId="77777777" w:rsidR="00E647AA" w:rsidRPr="0001609E" w:rsidRDefault="00E647AA" w:rsidP="00E647AA"/>
    <w:p w14:paraId="02691007" w14:textId="3C007D4F" w:rsidR="007D230B" w:rsidRPr="0001609E" w:rsidRDefault="002E5874" w:rsidP="0016415E">
      <w:pPr>
        <w:pStyle w:val="eTRMHeading3"/>
      </w:pPr>
      <w:bookmarkStart w:id="58" w:name="_Toc486490862"/>
      <w:bookmarkStart w:id="59" w:name="_Toc486580933"/>
      <w:bookmarkStart w:id="60" w:name="_Toc12448791"/>
      <w:r w:rsidRPr="0001609E">
        <w:t xml:space="preserve">Base Case </w:t>
      </w:r>
      <w:r w:rsidR="007D230B" w:rsidRPr="0001609E">
        <w:t>Labor Cost ($/unit)</w:t>
      </w:r>
      <w:bookmarkEnd w:id="58"/>
      <w:bookmarkEnd w:id="59"/>
      <w:bookmarkEnd w:id="60"/>
    </w:p>
    <w:p w14:paraId="73740A57" w14:textId="093D08B0" w:rsidR="00FA124C" w:rsidRPr="0033544A" w:rsidRDefault="00FA124C" w:rsidP="00FA124C">
      <w:pPr>
        <w:rPr>
          <w:rFonts w:cstheme="minorHAnsi"/>
          <w:i/>
        </w:rPr>
      </w:pPr>
      <w:r>
        <w:rPr>
          <w:rFonts w:cstheme="minorHAnsi"/>
        </w:rPr>
        <w:t>T</w:t>
      </w:r>
      <w:r w:rsidRPr="0033544A">
        <w:rPr>
          <w:rFonts w:cstheme="minorHAnsi"/>
        </w:rPr>
        <w:t xml:space="preserve">he base case </w:t>
      </w:r>
      <w:r w:rsidR="00A107E7">
        <w:rPr>
          <w:rFonts w:cstheme="minorHAnsi"/>
        </w:rPr>
        <w:t xml:space="preserve">labor </w:t>
      </w:r>
      <w:r w:rsidRPr="0033544A">
        <w:rPr>
          <w:rFonts w:cstheme="minorHAnsi"/>
        </w:rPr>
        <w:t xml:space="preserve">cost is assumed to be </w:t>
      </w:r>
      <w:r>
        <w:rPr>
          <w:rFonts w:cstheme="minorHAnsi"/>
        </w:rPr>
        <w:t>$0</w:t>
      </w:r>
      <w:r w:rsidRPr="0033544A">
        <w:rPr>
          <w:rFonts w:cstheme="minorHAnsi"/>
        </w:rPr>
        <w:t xml:space="preserve"> </w:t>
      </w:r>
      <w:r>
        <w:rPr>
          <w:rFonts w:cstheme="minorHAnsi"/>
        </w:rPr>
        <w:t xml:space="preserve">for add-on </w:t>
      </w:r>
      <w:r w:rsidR="00A107E7">
        <w:rPr>
          <w:rFonts w:cstheme="minorHAnsi"/>
        </w:rPr>
        <w:t xml:space="preserve">equipment </w:t>
      </w:r>
      <w:r>
        <w:rPr>
          <w:rFonts w:cstheme="minorHAnsi"/>
        </w:rPr>
        <w:t xml:space="preserve">application types </w:t>
      </w:r>
      <w:r w:rsidRPr="0033544A">
        <w:rPr>
          <w:rFonts w:cstheme="minorHAnsi"/>
        </w:rPr>
        <w:t xml:space="preserve">because these </w:t>
      </w:r>
      <w:r>
        <w:rPr>
          <w:rFonts w:cstheme="minorHAnsi"/>
        </w:rPr>
        <w:t xml:space="preserve">measure offerings </w:t>
      </w:r>
      <w:r w:rsidRPr="0033544A">
        <w:rPr>
          <w:rFonts w:cstheme="minorHAnsi"/>
        </w:rPr>
        <w:t xml:space="preserve">are </w:t>
      </w:r>
      <w:r>
        <w:rPr>
          <w:rFonts w:cstheme="minorHAnsi"/>
        </w:rPr>
        <w:t xml:space="preserve">considered </w:t>
      </w:r>
      <w:r w:rsidRPr="0033544A">
        <w:rPr>
          <w:rFonts w:cstheme="minorHAnsi"/>
        </w:rPr>
        <w:t xml:space="preserve">discretionary modifications to the customer existing equipment. </w:t>
      </w:r>
      <w:r>
        <w:rPr>
          <w:rFonts w:cstheme="minorHAnsi"/>
        </w:rPr>
        <w:t>The customer’s</w:t>
      </w:r>
      <w:r w:rsidRPr="0033544A">
        <w:rPr>
          <w:rFonts w:cstheme="minorHAnsi"/>
        </w:rPr>
        <w:t xml:space="preserve"> alternative is to make no changes to </w:t>
      </w:r>
      <w:r>
        <w:rPr>
          <w:rFonts w:cstheme="minorHAnsi"/>
        </w:rPr>
        <w:t>the</w:t>
      </w:r>
      <w:r w:rsidRPr="0033544A">
        <w:rPr>
          <w:rFonts w:cstheme="minorHAnsi"/>
        </w:rPr>
        <w:t xml:space="preserve"> existing system.  </w:t>
      </w:r>
    </w:p>
    <w:p w14:paraId="45BD9FAB" w14:textId="25C9DF0E" w:rsidR="00FA124C" w:rsidRDefault="00FA124C" w:rsidP="00FA124C">
      <w:pPr>
        <w:rPr>
          <w:rFonts w:cstheme="minorHAnsi"/>
        </w:rPr>
      </w:pPr>
      <w:r>
        <w:rPr>
          <w:rFonts w:cstheme="minorHAnsi"/>
        </w:rPr>
        <w:t>T</w:t>
      </w:r>
      <w:r w:rsidRPr="0033544A">
        <w:rPr>
          <w:rFonts w:cstheme="minorHAnsi"/>
        </w:rPr>
        <w:t xml:space="preserve">he base case </w:t>
      </w:r>
      <w:r w:rsidR="00A107E7">
        <w:rPr>
          <w:rFonts w:cstheme="minorHAnsi"/>
        </w:rPr>
        <w:t xml:space="preserve">labor </w:t>
      </w:r>
      <w:r w:rsidRPr="0033544A">
        <w:rPr>
          <w:rFonts w:cstheme="minorHAnsi"/>
        </w:rPr>
        <w:t xml:space="preserve">cost is assumed to be </w:t>
      </w:r>
      <w:r>
        <w:rPr>
          <w:rFonts w:cstheme="minorHAnsi"/>
        </w:rPr>
        <w:t>$0</w:t>
      </w:r>
      <w:r w:rsidRPr="0033544A">
        <w:rPr>
          <w:rFonts w:cstheme="minorHAnsi"/>
        </w:rPr>
        <w:t xml:space="preserve"> </w:t>
      </w:r>
      <w:r>
        <w:rPr>
          <w:rFonts w:cstheme="minorHAnsi"/>
        </w:rPr>
        <w:t>for new construction application types because</w:t>
      </w:r>
      <w:r w:rsidRPr="0033544A">
        <w:rPr>
          <w:rFonts w:cstheme="minorHAnsi"/>
        </w:rPr>
        <w:t xml:space="preserve"> the base case </w:t>
      </w:r>
      <w:r>
        <w:rPr>
          <w:rFonts w:cstheme="minorHAnsi"/>
        </w:rPr>
        <w:t xml:space="preserve">is defined as </w:t>
      </w:r>
      <w:r w:rsidRPr="0033544A">
        <w:rPr>
          <w:rFonts w:cstheme="minorHAnsi"/>
        </w:rPr>
        <w:t>the existing equipment</w:t>
      </w:r>
      <w:r>
        <w:rPr>
          <w:rFonts w:cstheme="minorHAnsi"/>
        </w:rPr>
        <w:t>,</w:t>
      </w:r>
      <w:r w:rsidRPr="0033544A">
        <w:rPr>
          <w:rFonts w:cstheme="minorHAnsi"/>
        </w:rPr>
        <w:t xml:space="preserve"> which does not require replacement.   </w:t>
      </w:r>
    </w:p>
    <w:p w14:paraId="0CB762B3" w14:textId="77777777" w:rsidR="002E5874" w:rsidRPr="0001609E" w:rsidRDefault="002E5874" w:rsidP="002E5874"/>
    <w:p w14:paraId="5E89BC5E" w14:textId="22B628A3" w:rsidR="002E5874" w:rsidRPr="0001609E" w:rsidRDefault="002E5874" w:rsidP="0016415E">
      <w:pPr>
        <w:pStyle w:val="eTRMHeading3"/>
      </w:pPr>
      <w:bookmarkStart w:id="61" w:name="_Toc12448792"/>
      <w:r w:rsidRPr="0001609E">
        <w:t>Measure Case Labor Cost ($/unit)</w:t>
      </w:r>
      <w:bookmarkEnd w:id="61"/>
    </w:p>
    <w:p w14:paraId="5FCE367F" w14:textId="04C190FE" w:rsidR="007D230B" w:rsidRDefault="00FA124C" w:rsidP="004142EF">
      <w:r>
        <w:t xml:space="preserve">See Measure Case Material Cost. </w:t>
      </w:r>
    </w:p>
    <w:p w14:paraId="5AE4639F" w14:textId="77777777" w:rsidR="00FA124C" w:rsidRPr="0001609E" w:rsidRDefault="00FA124C" w:rsidP="004142EF"/>
    <w:p w14:paraId="050D9183" w14:textId="7ABF5C13" w:rsidR="007D230B" w:rsidRPr="0001609E" w:rsidRDefault="004B06E3" w:rsidP="0016415E">
      <w:pPr>
        <w:pStyle w:val="eTRMHeading3"/>
      </w:pPr>
      <w:bookmarkStart w:id="62" w:name="_Toc486490863"/>
      <w:bookmarkStart w:id="63" w:name="_Toc486580934"/>
      <w:bookmarkStart w:id="64" w:name="_Toc12448793"/>
      <w:r w:rsidRPr="0001609E">
        <w:t>Net-to-Gross</w:t>
      </w:r>
      <w:bookmarkEnd w:id="62"/>
      <w:bookmarkEnd w:id="63"/>
      <w:r w:rsidR="008D4652" w:rsidRPr="0001609E">
        <w:t xml:space="preserve"> (NTG)</w:t>
      </w:r>
      <w:bookmarkEnd w:id="64"/>
    </w:p>
    <w:p w14:paraId="74940D3A" w14:textId="05C21BA3" w:rsidR="007D230B" w:rsidRPr="0001609E" w:rsidRDefault="00AA3E2A" w:rsidP="004142EF">
      <w:r w:rsidRPr="0001609E">
        <w:t xml:space="preserve">The net-to-gross (NTG) ratio represents the portion of gross impacts that are determined to be directly attributed to a specific program intervention. </w:t>
      </w:r>
      <w:r w:rsidR="00FA124C">
        <w:t>This</w:t>
      </w:r>
      <w:r w:rsidR="00FA124C" w:rsidRPr="00AF3038">
        <w:t xml:space="preserve"> NTG </w:t>
      </w:r>
      <w:r w:rsidR="00FA124C">
        <w:t>value is</w:t>
      </w:r>
      <w:r w:rsidR="00FA124C" w:rsidRPr="00AF3038">
        <w:t xml:space="preserve"> based upon the average of all NTG ratios </w:t>
      </w:r>
      <w:r w:rsidR="00FA124C" w:rsidRPr="00AF3038">
        <w:lastRenderedPageBreak/>
        <w:t>for all e</w:t>
      </w:r>
      <w:r w:rsidR="00FA124C">
        <w:t xml:space="preserve">valuated 2006 – 2008 commercial </w:t>
      </w:r>
      <w:r w:rsidR="00FA124C" w:rsidRPr="00AF3038">
        <w:t xml:space="preserve">programs, as documented in the 2011 DEER Update Study conducted by Itron, Inc. </w:t>
      </w:r>
      <w:r w:rsidR="00096C5B">
        <w:t>This</w:t>
      </w:r>
      <w:r w:rsidR="00096C5B" w:rsidRPr="00AF3038">
        <w:t xml:space="preserve"> </w:t>
      </w:r>
      <w:r w:rsidR="00096C5B">
        <w:t xml:space="preserve">is the </w:t>
      </w:r>
      <w:r w:rsidR="00096C5B" w:rsidRPr="00AF3038">
        <w:t>“default</w:t>
      </w:r>
      <w:r w:rsidR="00096C5B">
        <w:t>”</w:t>
      </w:r>
      <w:r w:rsidR="00096C5B" w:rsidRPr="00AF3038">
        <w:t xml:space="preserve"> NTGs applicable </w:t>
      </w:r>
      <w:r w:rsidR="00096C5B">
        <w:t xml:space="preserve">to </w:t>
      </w:r>
      <w:r w:rsidR="00096C5B" w:rsidRPr="00AF3038">
        <w:t xml:space="preserve">all energy efficiency measures that have been offered </w:t>
      </w:r>
      <w:r w:rsidR="00096C5B" w:rsidRPr="00FA124C">
        <w:t xml:space="preserve">through </w:t>
      </w:r>
      <w:r w:rsidR="00FA124C" w:rsidRPr="00FA124C">
        <w:t>commercial</w:t>
      </w:r>
      <w:r w:rsidR="00096C5B" w:rsidRPr="00FA124C">
        <w:t xml:space="preserve"> sector programs for two years and for which impact evaluation results are not</w:t>
      </w:r>
      <w:r w:rsidR="00096C5B" w:rsidRPr="00AF3038">
        <w:t xml:space="preserve"> available.</w:t>
      </w:r>
      <w:r w:rsidR="00096C5B" w:rsidRPr="00765218">
        <w:t> </w:t>
      </w:r>
    </w:p>
    <w:p w14:paraId="0D1CEED6" w14:textId="7936579E" w:rsidR="00DE1A0F" w:rsidRPr="0001609E" w:rsidRDefault="00DE1A0F" w:rsidP="0038465D">
      <w:pPr>
        <w:pStyle w:val="Caption"/>
      </w:pPr>
      <w:r w:rsidRPr="0001609E">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335"/>
        <w:gridCol w:w="1440"/>
        <w:gridCol w:w="5760"/>
      </w:tblGrid>
      <w:tr w:rsidR="00AA3E2A" w:rsidRPr="0001609E" w14:paraId="0D2B92AF" w14:textId="662FBAEE" w:rsidTr="00A107E7">
        <w:trPr>
          <w:cantSplit/>
          <w:trHeight w:val="20"/>
        </w:trPr>
        <w:tc>
          <w:tcPr>
            <w:tcW w:w="2335" w:type="dxa"/>
            <w:shd w:val="clear" w:color="000000" w:fill="F2F2F2" w:themeFill="background1" w:themeFillShade="F2"/>
            <w:vAlign w:val="bottom"/>
          </w:tcPr>
          <w:p w14:paraId="2A033AD8" w14:textId="3B553F77" w:rsidR="00AA3E2A" w:rsidRPr="0001609E" w:rsidRDefault="00177EB6" w:rsidP="006D6644">
            <w:pPr>
              <w:keepNext/>
              <w:keepLines/>
              <w:spacing w:before="0" w:after="0" w:line="200" w:lineRule="atLeast"/>
              <w:jc w:val="center"/>
              <w:rPr>
                <w:rFonts w:cs="Arial"/>
                <w:b/>
                <w:color w:val="000000"/>
                <w:sz w:val="20"/>
                <w:szCs w:val="20"/>
              </w:rPr>
            </w:pPr>
            <w:r w:rsidRPr="0001609E">
              <w:rPr>
                <w:rFonts w:cs="Arial"/>
                <w:b/>
                <w:color w:val="000000"/>
                <w:sz w:val="20"/>
                <w:szCs w:val="20"/>
              </w:rPr>
              <w:t>Parameter</w:t>
            </w:r>
          </w:p>
        </w:tc>
        <w:tc>
          <w:tcPr>
            <w:tcW w:w="1440" w:type="dxa"/>
            <w:shd w:val="clear" w:color="000000" w:fill="F2F2F2" w:themeFill="background1" w:themeFillShade="F2"/>
            <w:vAlign w:val="bottom"/>
          </w:tcPr>
          <w:p w14:paraId="547E5263" w14:textId="4D6989E1" w:rsidR="00AA3E2A" w:rsidRPr="0001609E" w:rsidRDefault="00177EB6" w:rsidP="006D6644">
            <w:pPr>
              <w:keepNext/>
              <w:keepLines/>
              <w:spacing w:before="0" w:after="0" w:line="200" w:lineRule="atLeast"/>
              <w:jc w:val="center"/>
              <w:rPr>
                <w:rFonts w:cs="Arial"/>
                <w:b/>
                <w:color w:val="000000"/>
                <w:sz w:val="20"/>
                <w:szCs w:val="20"/>
              </w:rPr>
            </w:pPr>
            <w:r w:rsidRPr="0001609E">
              <w:rPr>
                <w:rFonts w:cs="Arial"/>
                <w:b/>
                <w:color w:val="000000"/>
                <w:sz w:val="20"/>
                <w:szCs w:val="20"/>
              </w:rPr>
              <w:t>Value</w:t>
            </w:r>
          </w:p>
        </w:tc>
        <w:tc>
          <w:tcPr>
            <w:tcW w:w="5760" w:type="dxa"/>
            <w:shd w:val="clear" w:color="000000" w:fill="F2F2F2" w:themeFill="background1" w:themeFillShade="F2"/>
          </w:tcPr>
          <w:p w14:paraId="50233CF6" w14:textId="0C7F65AC" w:rsidR="00AA3E2A" w:rsidRPr="0001609E" w:rsidRDefault="00AA3E2A" w:rsidP="006D6644">
            <w:pPr>
              <w:keepNext/>
              <w:keepLines/>
              <w:spacing w:before="0" w:after="0" w:line="200" w:lineRule="atLeast"/>
              <w:jc w:val="center"/>
              <w:rPr>
                <w:rFonts w:cs="Arial"/>
                <w:b/>
                <w:color w:val="000000"/>
                <w:sz w:val="20"/>
                <w:szCs w:val="20"/>
              </w:rPr>
            </w:pPr>
            <w:r w:rsidRPr="0001609E">
              <w:rPr>
                <w:rFonts w:cs="Arial"/>
                <w:b/>
                <w:color w:val="000000"/>
                <w:sz w:val="20"/>
                <w:szCs w:val="20"/>
              </w:rPr>
              <w:t>Source</w:t>
            </w:r>
          </w:p>
        </w:tc>
      </w:tr>
      <w:tr w:rsidR="00096C5B" w:rsidRPr="0001609E" w14:paraId="682BF062" w14:textId="72E696E9" w:rsidTr="00A107E7">
        <w:trPr>
          <w:cantSplit/>
          <w:trHeight w:val="20"/>
        </w:trPr>
        <w:tc>
          <w:tcPr>
            <w:tcW w:w="2335" w:type="dxa"/>
            <w:vAlign w:val="center"/>
          </w:tcPr>
          <w:p w14:paraId="5BA6FA92" w14:textId="2CD602C0" w:rsidR="00096C5B" w:rsidRPr="0001609E" w:rsidRDefault="00096C5B" w:rsidP="00096C5B">
            <w:pPr>
              <w:keepNext/>
              <w:keepLines/>
              <w:spacing w:before="0" w:after="0" w:line="200" w:lineRule="atLeast"/>
              <w:rPr>
                <w:rFonts w:cstheme="minorHAnsi"/>
                <w:sz w:val="20"/>
                <w:szCs w:val="20"/>
              </w:rPr>
            </w:pPr>
            <w:r w:rsidRPr="0001609E">
              <w:rPr>
                <w:rFonts w:cs="Arial"/>
                <w:color w:val="000000"/>
                <w:sz w:val="20"/>
                <w:szCs w:val="20"/>
              </w:rPr>
              <w:t xml:space="preserve">NTG </w:t>
            </w:r>
            <w:r>
              <w:rPr>
                <w:rFonts w:cs="Arial"/>
                <w:color w:val="000000"/>
                <w:sz w:val="20"/>
                <w:szCs w:val="20"/>
              </w:rPr>
              <w:t>–</w:t>
            </w:r>
            <w:r w:rsidRPr="0001609E">
              <w:rPr>
                <w:rFonts w:cs="Arial"/>
                <w:color w:val="000000"/>
                <w:sz w:val="20"/>
                <w:szCs w:val="20"/>
              </w:rPr>
              <w:t xml:space="preserve"> </w:t>
            </w:r>
            <w:r w:rsidR="00FA124C">
              <w:rPr>
                <w:rFonts w:cs="Arial"/>
                <w:color w:val="000000"/>
                <w:sz w:val="20"/>
                <w:szCs w:val="20"/>
              </w:rPr>
              <w:t>Commercial</w:t>
            </w:r>
          </w:p>
        </w:tc>
        <w:tc>
          <w:tcPr>
            <w:tcW w:w="1440" w:type="dxa"/>
            <w:shd w:val="clear" w:color="auto" w:fill="auto"/>
            <w:noWrap/>
            <w:vAlign w:val="center"/>
          </w:tcPr>
          <w:p w14:paraId="62F18FF1" w14:textId="4C30C3A6" w:rsidR="00096C5B" w:rsidRPr="00A107E7" w:rsidRDefault="00096C5B" w:rsidP="00096C5B">
            <w:pPr>
              <w:keepNext/>
              <w:keepLines/>
              <w:spacing w:before="0" w:after="0" w:line="200" w:lineRule="atLeast"/>
              <w:jc w:val="center"/>
              <w:rPr>
                <w:sz w:val="20"/>
                <w:szCs w:val="20"/>
              </w:rPr>
            </w:pPr>
            <w:r w:rsidRPr="00A107E7">
              <w:rPr>
                <w:sz w:val="20"/>
                <w:szCs w:val="20"/>
              </w:rPr>
              <w:t>0.</w:t>
            </w:r>
            <w:r w:rsidR="003077CB" w:rsidRPr="00A107E7">
              <w:rPr>
                <w:sz w:val="20"/>
                <w:szCs w:val="20"/>
              </w:rPr>
              <w:t>60</w:t>
            </w:r>
          </w:p>
        </w:tc>
        <w:tc>
          <w:tcPr>
            <w:tcW w:w="5760" w:type="dxa"/>
            <w:vAlign w:val="center"/>
          </w:tcPr>
          <w:p w14:paraId="133857EB" w14:textId="318B30D4" w:rsidR="00096C5B" w:rsidRPr="00C7412C" w:rsidRDefault="00096C5B" w:rsidP="00096C5B">
            <w:pPr>
              <w:keepNext/>
              <w:keepLines/>
              <w:spacing w:before="0" w:after="0" w:line="200" w:lineRule="atLeast"/>
              <w:rPr>
                <w:sz w:val="20"/>
                <w:szCs w:val="20"/>
              </w:rPr>
            </w:pPr>
            <w:r w:rsidRPr="00C7412C">
              <w:rPr>
                <w:sz w:val="18"/>
              </w:rPr>
              <w:t xml:space="preserve">Itron, Inc. 2011. </w:t>
            </w:r>
            <w:r w:rsidRPr="00C7412C">
              <w:rPr>
                <w:i/>
                <w:sz w:val="18"/>
              </w:rPr>
              <w:t>DEER Database 2011 Update Documentation.</w:t>
            </w:r>
            <w:r w:rsidRPr="00C7412C">
              <w:rPr>
                <w:sz w:val="18"/>
              </w:rPr>
              <w:t xml:space="preserve"> Prepared for the California Public Utilities Commission. Page 15-4 Table 15-3.</w:t>
            </w:r>
          </w:p>
        </w:tc>
      </w:tr>
    </w:tbl>
    <w:p w14:paraId="6ECC6493" w14:textId="77777777" w:rsidR="007D230B" w:rsidRPr="0001609E" w:rsidRDefault="007D230B" w:rsidP="004142EF"/>
    <w:p w14:paraId="323B5B02" w14:textId="4C4B13DC" w:rsidR="007D230B" w:rsidRPr="0001609E" w:rsidRDefault="00D02C36" w:rsidP="0016415E">
      <w:pPr>
        <w:pStyle w:val="eTRMHeading3"/>
      </w:pPr>
      <w:bookmarkStart w:id="65" w:name="_Toc486490864"/>
      <w:bookmarkStart w:id="66" w:name="_Toc486580935"/>
      <w:bookmarkStart w:id="67" w:name="_Toc12448794"/>
      <w:r w:rsidRPr="0001609E">
        <w:t>Gross Savings Installation Adjustment (</w:t>
      </w:r>
      <w:r w:rsidR="007D230B" w:rsidRPr="0001609E">
        <w:t>GSIA</w:t>
      </w:r>
      <w:bookmarkEnd w:id="65"/>
      <w:bookmarkEnd w:id="66"/>
      <w:r w:rsidRPr="0001609E">
        <w:t>)</w:t>
      </w:r>
      <w:bookmarkEnd w:id="67"/>
    </w:p>
    <w:p w14:paraId="2A1F1C17" w14:textId="6BC8019C" w:rsidR="007D230B" w:rsidRPr="0001609E" w:rsidRDefault="00AA3E2A" w:rsidP="004142EF">
      <w:r w:rsidRPr="0001609E">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r w:rsidR="00FA124C">
        <w:t>This GSIA rate is the current “default” rate specified for measures for which an alternative GSIA has not been estimated and approved.</w:t>
      </w:r>
    </w:p>
    <w:p w14:paraId="022915CE" w14:textId="4D8D7AD0" w:rsidR="00DE1A0F" w:rsidRPr="0001609E" w:rsidRDefault="002F78E9" w:rsidP="0038465D">
      <w:pPr>
        <w:pStyle w:val="Caption"/>
      </w:pPr>
      <w:r w:rsidRPr="0001609E">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335"/>
        <w:gridCol w:w="1441"/>
        <w:gridCol w:w="5669"/>
      </w:tblGrid>
      <w:tr w:rsidR="00AA3E2A" w:rsidRPr="0001609E" w14:paraId="60BDA2BB" w14:textId="744FC0FC" w:rsidTr="00A107E7">
        <w:trPr>
          <w:cantSplit/>
          <w:trHeight w:val="20"/>
        </w:trPr>
        <w:tc>
          <w:tcPr>
            <w:tcW w:w="1236" w:type="pct"/>
            <w:shd w:val="clear" w:color="000000" w:fill="F2F2F2" w:themeFill="background1" w:themeFillShade="F2"/>
            <w:vAlign w:val="bottom"/>
          </w:tcPr>
          <w:p w14:paraId="7D363CC0" w14:textId="26519964" w:rsidR="00AA3E2A" w:rsidRPr="0001609E" w:rsidRDefault="00177EB6" w:rsidP="00BA3D7D">
            <w:pPr>
              <w:spacing w:before="0" w:after="0" w:line="200" w:lineRule="atLeast"/>
              <w:jc w:val="center"/>
              <w:rPr>
                <w:rFonts w:cs="Arial"/>
                <w:b/>
                <w:color w:val="000000"/>
                <w:sz w:val="20"/>
                <w:szCs w:val="20"/>
              </w:rPr>
            </w:pPr>
            <w:r w:rsidRPr="0001609E">
              <w:rPr>
                <w:rFonts w:cs="Arial"/>
                <w:b/>
                <w:color w:val="000000"/>
                <w:sz w:val="20"/>
                <w:szCs w:val="20"/>
              </w:rPr>
              <w:t>Parameter</w:t>
            </w:r>
          </w:p>
        </w:tc>
        <w:tc>
          <w:tcPr>
            <w:tcW w:w="763" w:type="pct"/>
            <w:shd w:val="clear" w:color="000000" w:fill="F2F2F2" w:themeFill="background1" w:themeFillShade="F2"/>
            <w:vAlign w:val="center"/>
          </w:tcPr>
          <w:p w14:paraId="2A1AC9D4" w14:textId="3263DC2B" w:rsidR="00AA3E2A" w:rsidRPr="0001609E" w:rsidRDefault="00AA3E2A" w:rsidP="006D6644">
            <w:pPr>
              <w:spacing w:before="0" w:after="0" w:line="200" w:lineRule="atLeast"/>
              <w:jc w:val="center"/>
              <w:rPr>
                <w:rFonts w:cs="Arial"/>
                <w:b/>
                <w:color w:val="000000"/>
                <w:sz w:val="20"/>
                <w:szCs w:val="20"/>
              </w:rPr>
            </w:pPr>
            <w:r w:rsidRPr="0001609E">
              <w:rPr>
                <w:rFonts w:cs="Arial"/>
                <w:b/>
                <w:sz w:val="20"/>
                <w:szCs w:val="20"/>
              </w:rPr>
              <w:t xml:space="preserve">GSIA </w:t>
            </w:r>
          </w:p>
        </w:tc>
        <w:tc>
          <w:tcPr>
            <w:tcW w:w="3001" w:type="pct"/>
            <w:shd w:val="clear" w:color="000000" w:fill="F2F2F2" w:themeFill="background1" w:themeFillShade="F2"/>
          </w:tcPr>
          <w:p w14:paraId="32AB7FEE" w14:textId="77936D4E" w:rsidR="00AA3E2A" w:rsidRPr="0001609E" w:rsidRDefault="00AA3E2A" w:rsidP="006D6644">
            <w:pPr>
              <w:spacing w:before="0" w:after="0" w:line="200" w:lineRule="atLeast"/>
              <w:jc w:val="center"/>
              <w:rPr>
                <w:rFonts w:cs="Arial"/>
                <w:b/>
                <w:sz w:val="20"/>
                <w:szCs w:val="20"/>
              </w:rPr>
            </w:pPr>
            <w:r w:rsidRPr="0001609E">
              <w:rPr>
                <w:rFonts w:cs="Arial"/>
                <w:b/>
                <w:sz w:val="20"/>
                <w:szCs w:val="20"/>
              </w:rPr>
              <w:t>Source</w:t>
            </w:r>
          </w:p>
        </w:tc>
      </w:tr>
      <w:tr w:rsidR="00D6352D" w:rsidRPr="0001609E" w14:paraId="2209CD52" w14:textId="78579504" w:rsidTr="00A5765D">
        <w:trPr>
          <w:cantSplit/>
          <w:trHeight w:val="20"/>
        </w:trPr>
        <w:tc>
          <w:tcPr>
            <w:tcW w:w="1236" w:type="pct"/>
            <w:vAlign w:val="center"/>
          </w:tcPr>
          <w:p w14:paraId="6618BC2B" w14:textId="76C9739F" w:rsidR="00D6352D" w:rsidRPr="0001609E" w:rsidRDefault="00D6352D" w:rsidP="00A5765D">
            <w:pPr>
              <w:spacing w:before="0" w:after="0" w:line="200" w:lineRule="atLeast"/>
              <w:rPr>
                <w:rFonts w:cstheme="minorHAnsi"/>
                <w:sz w:val="20"/>
                <w:szCs w:val="20"/>
              </w:rPr>
            </w:pPr>
            <w:r w:rsidRPr="0001609E">
              <w:rPr>
                <w:rFonts w:cstheme="minorHAnsi"/>
                <w:sz w:val="20"/>
                <w:szCs w:val="20"/>
              </w:rPr>
              <w:t xml:space="preserve">GSIA </w:t>
            </w:r>
          </w:p>
        </w:tc>
        <w:tc>
          <w:tcPr>
            <w:tcW w:w="763" w:type="pct"/>
            <w:vAlign w:val="center"/>
          </w:tcPr>
          <w:p w14:paraId="6D1D8F27" w14:textId="13477C3E" w:rsidR="00D6352D" w:rsidRPr="00A107E7" w:rsidRDefault="00D6352D" w:rsidP="00D6352D">
            <w:pPr>
              <w:spacing w:before="0" w:after="0" w:line="200" w:lineRule="atLeast"/>
              <w:jc w:val="center"/>
              <w:rPr>
                <w:sz w:val="20"/>
                <w:szCs w:val="20"/>
              </w:rPr>
            </w:pPr>
            <w:r w:rsidRPr="00A107E7">
              <w:rPr>
                <w:sz w:val="20"/>
                <w:szCs w:val="20"/>
              </w:rPr>
              <w:t>1.0</w:t>
            </w:r>
          </w:p>
        </w:tc>
        <w:tc>
          <w:tcPr>
            <w:tcW w:w="3001" w:type="pct"/>
            <w:vAlign w:val="center"/>
          </w:tcPr>
          <w:p w14:paraId="52FCA633" w14:textId="230E318D" w:rsidR="00D6352D" w:rsidRPr="00C7412C" w:rsidRDefault="00D6352D" w:rsidP="00D6352D">
            <w:pPr>
              <w:spacing w:before="0" w:after="0" w:line="200" w:lineRule="atLeast"/>
              <w:rPr>
                <w:sz w:val="20"/>
                <w:szCs w:val="20"/>
              </w:rPr>
            </w:pPr>
            <w:r w:rsidRPr="00C7412C">
              <w:rPr>
                <w:rFonts w:eastAsia="Times New Roman" w:cs="Times New Roman"/>
                <w:sz w:val="18"/>
                <w:szCs w:val="18"/>
              </w:rPr>
              <w:t xml:space="preserve">California Public Utilities Commission (CPUC), Energy Division. 2013. </w:t>
            </w:r>
            <w:r w:rsidRPr="00C7412C">
              <w:rPr>
                <w:rFonts w:eastAsia="Times New Roman" w:cs="Times New Roman"/>
                <w:i/>
                <w:sz w:val="18"/>
                <w:szCs w:val="18"/>
              </w:rPr>
              <w:t>Energy Efficiency Policy Manual Version 5</w:t>
            </w:r>
            <w:r w:rsidRPr="00C7412C">
              <w:rPr>
                <w:rFonts w:eastAsia="Times New Roman" w:cs="Times New Roman"/>
                <w:sz w:val="18"/>
                <w:szCs w:val="18"/>
              </w:rPr>
              <w:t>. Page 31.</w:t>
            </w:r>
          </w:p>
        </w:tc>
      </w:tr>
    </w:tbl>
    <w:p w14:paraId="08395124" w14:textId="77777777" w:rsidR="00DE1A0F" w:rsidRPr="0001609E" w:rsidRDefault="00DE1A0F" w:rsidP="00DE1A0F">
      <w:pPr>
        <w:rPr>
          <w:rFonts w:cs="Arial"/>
          <w:sz w:val="20"/>
          <w:szCs w:val="20"/>
        </w:rPr>
      </w:pPr>
    </w:p>
    <w:p w14:paraId="498C05E5" w14:textId="232D8547" w:rsidR="002C67DF" w:rsidRPr="0001609E" w:rsidRDefault="002C67DF" w:rsidP="0016415E">
      <w:pPr>
        <w:pStyle w:val="eTRMHeading3"/>
      </w:pPr>
      <w:bookmarkStart w:id="68" w:name="_Toc486490865"/>
      <w:bookmarkStart w:id="69" w:name="_Toc486580936"/>
      <w:bookmarkStart w:id="70" w:name="_Toc12448795"/>
      <w:r w:rsidRPr="0001609E">
        <w:t xml:space="preserve">Non-Energy </w:t>
      </w:r>
      <w:bookmarkEnd w:id="68"/>
      <w:bookmarkEnd w:id="69"/>
      <w:r w:rsidR="00DA6B7E" w:rsidRPr="0001609E">
        <w:t>Impacts</w:t>
      </w:r>
      <w:bookmarkEnd w:id="70"/>
    </w:p>
    <w:p w14:paraId="0D73FC70" w14:textId="27339D17" w:rsidR="00697A88" w:rsidRPr="0001609E" w:rsidRDefault="00697A88" w:rsidP="00697A88">
      <w:pPr>
        <w:rPr>
          <w:rFonts w:cs="Arial"/>
          <w:szCs w:val="20"/>
        </w:rPr>
      </w:pPr>
      <w:r w:rsidRPr="0001609E">
        <w:rPr>
          <w:rFonts w:cs="Arial"/>
          <w:szCs w:val="20"/>
        </w:rPr>
        <w:t xml:space="preserve">Non-energy benefits for this measure have not been </w:t>
      </w:r>
      <w:r w:rsidR="009D7F4D" w:rsidRPr="0001609E">
        <w:rPr>
          <w:rFonts w:cs="Arial"/>
          <w:szCs w:val="20"/>
        </w:rPr>
        <w:t>quantified</w:t>
      </w:r>
      <w:r w:rsidRPr="0001609E">
        <w:rPr>
          <w:rFonts w:cs="Arial"/>
          <w:szCs w:val="20"/>
        </w:rPr>
        <w:t>.</w:t>
      </w:r>
    </w:p>
    <w:p w14:paraId="0C37F289" w14:textId="77777777" w:rsidR="00697A88" w:rsidRPr="0001609E" w:rsidRDefault="00697A88" w:rsidP="004142EF"/>
    <w:p w14:paraId="7D8551BB" w14:textId="760F7D39" w:rsidR="009C31A4" w:rsidRPr="0001609E" w:rsidRDefault="009C31A4" w:rsidP="0016415E">
      <w:pPr>
        <w:pStyle w:val="eTRMHeading3"/>
      </w:pPr>
      <w:bookmarkStart w:id="71" w:name="_Toc12448796"/>
      <w:r w:rsidRPr="0001609E">
        <w:t>DEER Differences Analysis</w:t>
      </w:r>
      <w:bookmarkEnd w:id="71"/>
    </w:p>
    <w:p w14:paraId="575E579E" w14:textId="39C7256E" w:rsidR="002C67DF" w:rsidRDefault="003F21D2" w:rsidP="004142EF">
      <w:r w:rsidRPr="0001609E">
        <w:t xml:space="preserve">This section provides a summary of </w:t>
      </w:r>
      <w:r w:rsidR="00842D80">
        <w:rPr>
          <w:rFonts w:cstheme="minorHAnsi"/>
          <w:szCs w:val="22"/>
        </w:rPr>
        <w:t xml:space="preserve">Database for Energy Efficient Resources (DEER) </w:t>
      </w:r>
      <w:r w:rsidRPr="0001609E">
        <w:t>-based inputs and methods, and the rationale for inputs and methods that are not DEER-based.</w:t>
      </w:r>
    </w:p>
    <w:p w14:paraId="2D994E94" w14:textId="5C78EE25" w:rsidR="003077CB" w:rsidRDefault="00C668D2" w:rsidP="00455327">
      <w:r>
        <w:rPr>
          <w:rFonts w:cstheme="minorHAnsi"/>
          <w:szCs w:val="22"/>
        </w:rPr>
        <w:t xml:space="preserve">DEER2020 does not </w:t>
      </w:r>
      <w:r w:rsidR="00D400E7">
        <w:rPr>
          <w:rFonts w:cstheme="minorHAnsi"/>
          <w:szCs w:val="22"/>
        </w:rPr>
        <w:t>support</w:t>
      </w:r>
      <w:r>
        <w:rPr>
          <w:rFonts w:cstheme="minorHAnsi"/>
          <w:szCs w:val="22"/>
        </w:rPr>
        <w:t xml:space="preserve"> </w:t>
      </w:r>
      <w:r w:rsidR="001F636D">
        <w:rPr>
          <w:rFonts w:cstheme="minorHAnsi"/>
          <w:szCs w:val="22"/>
        </w:rPr>
        <w:t xml:space="preserve">these measures. </w:t>
      </w:r>
      <w:r w:rsidR="003077CB">
        <w:rPr>
          <w:rFonts w:cstheme="minorHAnsi"/>
          <w:szCs w:val="22"/>
        </w:rPr>
        <w:t xml:space="preserve">The </w:t>
      </w:r>
      <w:r w:rsidR="00D4421D">
        <w:rPr>
          <w:rFonts w:cstheme="minorHAnsi"/>
          <w:szCs w:val="22"/>
        </w:rPr>
        <w:t>DEER2017</w:t>
      </w:r>
      <w:r w:rsidR="003077CB">
        <w:rPr>
          <w:rFonts w:cstheme="minorHAnsi"/>
          <w:szCs w:val="22"/>
        </w:rPr>
        <w:t xml:space="preserve"> </w:t>
      </w:r>
      <w:r w:rsidR="00842D80">
        <w:rPr>
          <w:rFonts w:cstheme="minorHAnsi"/>
        </w:rPr>
        <w:t>includes</w:t>
      </w:r>
      <w:r w:rsidR="003077CB">
        <w:rPr>
          <w:rFonts w:cstheme="minorHAnsi"/>
        </w:rPr>
        <w:t xml:space="preserve"> </w:t>
      </w:r>
      <w:r w:rsidR="00D4421D">
        <w:rPr>
          <w:rFonts w:cstheme="minorHAnsi"/>
        </w:rPr>
        <w:t xml:space="preserve">the related measure offerings from </w:t>
      </w:r>
      <w:r w:rsidR="003077CB">
        <w:rPr>
          <w:rFonts w:cstheme="minorHAnsi"/>
        </w:rPr>
        <w:t>DEER2005</w:t>
      </w:r>
      <w:r w:rsidR="00AF3E8F">
        <w:rPr>
          <w:rFonts w:cstheme="minorHAnsi"/>
        </w:rPr>
        <w:t xml:space="preserve"> – </w:t>
      </w:r>
      <w:r w:rsidR="006B18EF">
        <w:rPr>
          <w:rFonts w:cstheme="minorHAnsi"/>
        </w:rPr>
        <w:t xml:space="preserve">variable </w:t>
      </w:r>
      <w:r w:rsidR="00A5765D">
        <w:rPr>
          <w:rFonts w:cstheme="minorHAnsi"/>
        </w:rPr>
        <w:t>speed</w:t>
      </w:r>
      <w:r w:rsidR="006B18EF">
        <w:rPr>
          <w:rFonts w:cstheme="minorHAnsi"/>
        </w:rPr>
        <w:t xml:space="preserve"> drive (</w:t>
      </w:r>
      <w:r w:rsidR="00A5765D">
        <w:rPr>
          <w:rFonts w:cstheme="minorHAnsi"/>
        </w:rPr>
        <w:t>VSD</w:t>
      </w:r>
      <w:r w:rsidR="006B18EF">
        <w:rPr>
          <w:rFonts w:cstheme="minorHAnsi"/>
        </w:rPr>
        <w:t>)</w:t>
      </w:r>
      <w:r w:rsidR="003077CB">
        <w:rPr>
          <w:rFonts w:cstheme="minorHAnsi"/>
        </w:rPr>
        <w:t xml:space="preserve"> on CHWPs as a combination </w:t>
      </w:r>
      <w:r w:rsidR="00455327">
        <w:rPr>
          <w:rFonts w:cstheme="minorHAnsi"/>
        </w:rPr>
        <w:t xml:space="preserve">of </w:t>
      </w:r>
      <w:r w:rsidR="003077CB">
        <w:rPr>
          <w:rFonts w:cstheme="minorHAnsi"/>
        </w:rPr>
        <w:t xml:space="preserve">two measures but only for certain building types. </w:t>
      </w:r>
      <w:r w:rsidR="003077CB" w:rsidRPr="004A063C">
        <w:t xml:space="preserve">D03-046 </w:t>
      </w:r>
      <w:r w:rsidR="00AF3E8F">
        <w:t>specified</w:t>
      </w:r>
      <w:r w:rsidR="003077CB" w:rsidRPr="004A063C">
        <w:t xml:space="preserve"> three-way valves and a single-speed pump in the base case, and two-way valves and a single-speed pump in the measure case</w:t>
      </w:r>
      <w:r w:rsidR="00455327">
        <w:t xml:space="preserve">. </w:t>
      </w:r>
      <w:r w:rsidR="003077CB" w:rsidRPr="00246B28">
        <w:t xml:space="preserve">D03-047 </w:t>
      </w:r>
      <w:r w:rsidR="00AF3E8F">
        <w:t>defined</w:t>
      </w:r>
      <w:r w:rsidR="003077CB" w:rsidRPr="00246B28">
        <w:t xml:space="preserve"> two-way valves and a single-speed pump in the base case, and two-way valves and a variable-speed pump in the measure case</w:t>
      </w:r>
      <w:r w:rsidR="003077CB">
        <w:t xml:space="preserve">.  </w:t>
      </w:r>
    </w:p>
    <w:p w14:paraId="574EFB51" w14:textId="21F4193E" w:rsidR="003077CB" w:rsidRDefault="003077CB" w:rsidP="003077CB">
      <w:r w:rsidRPr="00D86189">
        <w:rPr>
          <w:rFonts w:cstheme="minorHAnsi"/>
        </w:rPr>
        <w:t xml:space="preserve">DEER does not </w:t>
      </w:r>
      <w:r w:rsidR="007C6687">
        <w:rPr>
          <w:rFonts w:cstheme="minorHAnsi"/>
        </w:rPr>
        <w:t>support</w:t>
      </w:r>
      <w:r w:rsidR="007C6687" w:rsidRPr="00D86189">
        <w:rPr>
          <w:rFonts w:cstheme="minorHAnsi"/>
        </w:rPr>
        <w:t xml:space="preserve"> </w:t>
      </w:r>
      <w:r w:rsidRPr="00D86189">
        <w:rPr>
          <w:rFonts w:cstheme="minorHAnsi"/>
        </w:rPr>
        <w:t>meas</w:t>
      </w:r>
      <w:r>
        <w:rPr>
          <w:rFonts w:cstheme="minorHAnsi"/>
        </w:rPr>
        <w:t xml:space="preserve">ure savings on CWP </w:t>
      </w:r>
      <w:r w:rsidR="00A5765D">
        <w:rPr>
          <w:rFonts w:cstheme="minorHAnsi"/>
        </w:rPr>
        <w:t>VSD</w:t>
      </w:r>
      <w:r w:rsidRPr="00D86189">
        <w:rPr>
          <w:rFonts w:cstheme="minorHAnsi"/>
        </w:rPr>
        <w:t xml:space="preserve">, and </w:t>
      </w:r>
      <w:r>
        <w:t>DEER20</w:t>
      </w:r>
      <w:r w:rsidR="001F636D">
        <w:t>20</w:t>
      </w:r>
      <w:r>
        <w:t xml:space="preserve"> provides latest updated chiller models; hence, savings estimates were </w:t>
      </w:r>
      <w:r w:rsidR="00AF3E8F">
        <w:t>derived</w:t>
      </w:r>
      <w:r>
        <w:t xml:space="preserve"> based on </w:t>
      </w:r>
      <w:r w:rsidR="00AF3E8F">
        <w:t xml:space="preserve">the </w:t>
      </w:r>
      <w:r>
        <w:t>DEER20</w:t>
      </w:r>
      <w:r w:rsidR="001F636D">
        <w:t>20</w:t>
      </w:r>
      <w:r>
        <w:t xml:space="preserve"> chiller models. </w:t>
      </w:r>
    </w:p>
    <w:p w14:paraId="756C62FB" w14:textId="615AAC71" w:rsidR="00EA057C" w:rsidRPr="0001609E" w:rsidRDefault="00EA057C" w:rsidP="0038465D">
      <w:pPr>
        <w:pStyle w:val="Caption"/>
      </w:pPr>
      <w:r w:rsidRPr="0001609E">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01609E" w14:paraId="59D017C8" w14:textId="77777777" w:rsidTr="00C7412C">
        <w:trPr>
          <w:trHeight w:val="20"/>
          <w:tblHeader/>
        </w:trPr>
        <w:tc>
          <w:tcPr>
            <w:tcW w:w="1730" w:type="pct"/>
            <w:shd w:val="clear" w:color="auto" w:fill="F2F2F2" w:themeFill="background1" w:themeFillShade="F2"/>
          </w:tcPr>
          <w:p w14:paraId="5A1E2CE5" w14:textId="77777777" w:rsidR="00EA057C" w:rsidRPr="0001609E" w:rsidRDefault="00EA057C" w:rsidP="00C7412C">
            <w:pPr>
              <w:keepNext/>
              <w:keepLines/>
              <w:tabs>
                <w:tab w:val="right" w:pos="2957"/>
              </w:tabs>
              <w:spacing w:before="20" w:after="20"/>
              <w:rPr>
                <w:rFonts w:cs="Arial"/>
                <w:b/>
                <w:sz w:val="20"/>
                <w:szCs w:val="20"/>
              </w:rPr>
            </w:pPr>
            <w:r w:rsidRPr="0001609E">
              <w:rPr>
                <w:rFonts w:cs="Arial"/>
                <w:b/>
                <w:sz w:val="20"/>
                <w:szCs w:val="20"/>
              </w:rPr>
              <w:t>DEER Item</w:t>
            </w:r>
          </w:p>
        </w:tc>
        <w:tc>
          <w:tcPr>
            <w:tcW w:w="3270" w:type="pct"/>
            <w:shd w:val="clear" w:color="auto" w:fill="F2F2F2" w:themeFill="background1" w:themeFillShade="F2"/>
          </w:tcPr>
          <w:p w14:paraId="52AD34D1" w14:textId="0CFF441B" w:rsidR="00EA057C" w:rsidRPr="0001609E" w:rsidRDefault="00EA057C" w:rsidP="00C7412C">
            <w:pPr>
              <w:keepNext/>
              <w:keepLines/>
              <w:spacing w:before="20" w:after="20"/>
              <w:rPr>
                <w:rFonts w:cs="Arial"/>
                <w:b/>
                <w:sz w:val="20"/>
                <w:szCs w:val="20"/>
              </w:rPr>
            </w:pPr>
            <w:r w:rsidRPr="0001609E">
              <w:rPr>
                <w:rFonts w:cs="Arial"/>
                <w:b/>
                <w:sz w:val="20"/>
                <w:szCs w:val="20"/>
              </w:rPr>
              <w:t>Comment / Used for Workpaper</w:t>
            </w:r>
          </w:p>
        </w:tc>
      </w:tr>
      <w:tr w:rsidR="003077CB" w:rsidRPr="0001609E" w14:paraId="33003020" w14:textId="77777777" w:rsidTr="00EA057C">
        <w:trPr>
          <w:trHeight w:val="20"/>
        </w:trPr>
        <w:tc>
          <w:tcPr>
            <w:tcW w:w="1730" w:type="pct"/>
          </w:tcPr>
          <w:p w14:paraId="1F2D360A" w14:textId="77777777" w:rsidR="003077CB" w:rsidRPr="0001609E" w:rsidRDefault="003077CB" w:rsidP="00C7412C">
            <w:pPr>
              <w:spacing w:before="20" w:after="20"/>
              <w:rPr>
                <w:rFonts w:cs="Arial"/>
                <w:sz w:val="20"/>
                <w:szCs w:val="20"/>
              </w:rPr>
            </w:pPr>
            <w:r w:rsidRPr="0001609E">
              <w:rPr>
                <w:rFonts w:cs="Arial"/>
                <w:sz w:val="20"/>
                <w:szCs w:val="20"/>
              </w:rPr>
              <w:t>Modified DEER methodology</w:t>
            </w:r>
          </w:p>
        </w:tc>
        <w:tc>
          <w:tcPr>
            <w:tcW w:w="3270" w:type="pct"/>
          </w:tcPr>
          <w:p w14:paraId="247EE411" w14:textId="285E4258" w:rsidR="003077CB" w:rsidRPr="005331FC" w:rsidRDefault="003077CB" w:rsidP="00C7412C">
            <w:pPr>
              <w:spacing w:before="20" w:after="20"/>
              <w:rPr>
                <w:rFonts w:cs="Arial"/>
                <w:b/>
                <w:sz w:val="20"/>
                <w:szCs w:val="20"/>
              </w:rPr>
            </w:pPr>
            <w:r w:rsidRPr="005331FC">
              <w:rPr>
                <w:rFonts w:cs="Arial"/>
                <w:sz w:val="20"/>
                <w:szCs w:val="20"/>
              </w:rPr>
              <w:t>No</w:t>
            </w:r>
          </w:p>
        </w:tc>
      </w:tr>
      <w:tr w:rsidR="003077CB" w:rsidRPr="0001609E" w14:paraId="507422EA" w14:textId="77777777" w:rsidTr="00EA057C">
        <w:trPr>
          <w:trHeight w:val="20"/>
        </w:trPr>
        <w:tc>
          <w:tcPr>
            <w:tcW w:w="1730" w:type="pct"/>
          </w:tcPr>
          <w:p w14:paraId="29430E33" w14:textId="77777777" w:rsidR="003077CB" w:rsidRPr="0001609E" w:rsidRDefault="003077CB" w:rsidP="00C7412C">
            <w:pPr>
              <w:spacing w:before="20" w:after="20"/>
              <w:rPr>
                <w:rFonts w:cs="Arial"/>
                <w:sz w:val="20"/>
                <w:szCs w:val="20"/>
              </w:rPr>
            </w:pPr>
            <w:r w:rsidRPr="0001609E">
              <w:rPr>
                <w:rFonts w:cs="Arial"/>
                <w:sz w:val="20"/>
                <w:szCs w:val="20"/>
              </w:rPr>
              <w:t>Scaled DEER measure</w:t>
            </w:r>
          </w:p>
        </w:tc>
        <w:tc>
          <w:tcPr>
            <w:tcW w:w="3270" w:type="pct"/>
          </w:tcPr>
          <w:p w14:paraId="0C847473" w14:textId="432404A2" w:rsidR="003077CB" w:rsidRPr="005331FC" w:rsidRDefault="003077CB" w:rsidP="00C7412C">
            <w:pPr>
              <w:spacing w:before="20" w:after="20"/>
              <w:rPr>
                <w:rFonts w:cs="Arial"/>
                <w:sz w:val="20"/>
                <w:szCs w:val="20"/>
              </w:rPr>
            </w:pPr>
            <w:r w:rsidRPr="005331FC">
              <w:rPr>
                <w:rFonts w:cs="Arial"/>
                <w:sz w:val="20"/>
                <w:szCs w:val="20"/>
              </w:rPr>
              <w:t>No</w:t>
            </w:r>
          </w:p>
        </w:tc>
      </w:tr>
      <w:tr w:rsidR="003077CB" w:rsidRPr="0001609E" w14:paraId="335CDE40" w14:textId="77777777" w:rsidTr="00EA057C">
        <w:trPr>
          <w:trHeight w:val="20"/>
        </w:trPr>
        <w:tc>
          <w:tcPr>
            <w:tcW w:w="1730" w:type="pct"/>
          </w:tcPr>
          <w:p w14:paraId="126C3B42" w14:textId="77777777" w:rsidR="003077CB" w:rsidRPr="0001609E" w:rsidRDefault="003077CB" w:rsidP="00C7412C">
            <w:pPr>
              <w:spacing w:before="20" w:after="20"/>
              <w:rPr>
                <w:rFonts w:cs="Arial"/>
                <w:sz w:val="20"/>
                <w:szCs w:val="20"/>
              </w:rPr>
            </w:pPr>
            <w:r w:rsidRPr="0001609E">
              <w:rPr>
                <w:rFonts w:cs="Arial"/>
                <w:sz w:val="20"/>
                <w:szCs w:val="20"/>
              </w:rPr>
              <w:t>DEER Base Case</w:t>
            </w:r>
          </w:p>
        </w:tc>
        <w:tc>
          <w:tcPr>
            <w:tcW w:w="3270" w:type="pct"/>
          </w:tcPr>
          <w:p w14:paraId="5D2A1B0E" w14:textId="6135F030" w:rsidR="003077CB" w:rsidRPr="005331FC" w:rsidRDefault="003077CB" w:rsidP="00C7412C">
            <w:pPr>
              <w:spacing w:before="20" w:after="20"/>
              <w:rPr>
                <w:rFonts w:cs="Arial"/>
                <w:sz w:val="20"/>
                <w:szCs w:val="20"/>
              </w:rPr>
            </w:pPr>
            <w:r w:rsidRPr="005331FC">
              <w:rPr>
                <w:rFonts w:cs="Arial"/>
                <w:sz w:val="20"/>
                <w:szCs w:val="20"/>
              </w:rPr>
              <w:t>Yes (DEER20</w:t>
            </w:r>
            <w:r w:rsidR="001F636D">
              <w:rPr>
                <w:rFonts w:cs="Arial"/>
                <w:sz w:val="20"/>
                <w:szCs w:val="20"/>
              </w:rPr>
              <w:t>20</w:t>
            </w:r>
            <w:r w:rsidRPr="005331FC">
              <w:rPr>
                <w:rFonts w:cs="Arial"/>
                <w:sz w:val="20"/>
                <w:szCs w:val="20"/>
              </w:rPr>
              <w:t xml:space="preserve"> model</w:t>
            </w:r>
            <w:r w:rsidR="001F636D">
              <w:rPr>
                <w:rFonts w:cs="Arial"/>
                <w:sz w:val="20"/>
                <w:szCs w:val="20"/>
              </w:rPr>
              <w:t xml:space="preserve"> with </w:t>
            </w:r>
            <w:r w:rsidR="000C60E3">
              <w:rPr>
                <w:rFonts w:cs="Arial"/>
                <w:sz w:val="20"/>
                <w:szCs w:val="20"/>
              </w:rPr>
              <w:t>modifications</w:t>
            </w:r>
            <w:r w:rsidR="001F636D">
              <w:rPr>
                <w:rFonts w:cs="Arial"/>
                <w:sz w:val="20"/>
                <w:szCs w:val="20"/>
              </w:rPr>
              <w:t>)</w:t>
            </w:r>
          </w:p>
        </w:tc>
      </w:tr>
      <w:tr w:rsidR="003077CB" w:rsidRPr="0001609E" w14:paraId="1F8399E1" w14:textId="77777777" w:rsidTr="00EA057C">
        <w:trPr>
          <w:trHeight w:val="20"/>
        </w:trPr>
        <w:tc>
          <w:tcPr>
            <w:tcW w:w="1730" w:type="pct"/>
          </w:tcPr>
          <w:p w14:paraId="0CC701E3" w14:textId="77777777" w:rsidR="003077CB" w:rsidRPr="0001609E" w:rsidRDefault="003077CB" w:rsidP="00C7412C">
            <w:pPr>
              <w:spacing w:before="20" w:after="20"/>
              <w:rPr>
                <w:rFonts w:cs="Arial"/>
                <w:sz w:val="20"/>
                <w:szCs w:val="20"/>
              </w:rPr>
            </w:pPr>
            <w:r w:rsidRPr="0001609E">
              <w:rPr>
                <w:rFonts w:cs="Arial"/>
                <w:sz w:val="20"/>
                <w:szCs w:val="20"/>
              </w:rPr>
              <w:t>DEER Measure Case</w:t>
            </w:r>
          </w:p>
        </w:tc>
        <w:tc>
          <w:tcPr>
            <w:tcW w:w="3270" w:type="pct"/>
          </w:tcPr>
          <w:p w14:paraId="49A023A0" w14:textId="4362EA33" w:rsidR="003077CB" w:rsidRPr="005331FC" w:rsidRDefault="003077CB" w:rsidP="00C7412C">
            <w:pPr>
              <w:spacing w:before="20" w:after="20"/>
              <w:rPr>
                <w:rFonts w:cs="Arial"/>
                <w:sz w:val="20"/>
                <w:szCs w:val="20"/>
              </w:rPr>
            </w:pPr>
            <w:r w:rsidRPr="005331FC">
              <w:rPr>
                <w:rFonts w:cs="Arial"/>
                <w:sz w:val="20"/>
                <w:szCs w:val="20"/>
              </w:rPr>
              <w:t>No</w:t>
            </w:r>
          </w:p>
        </w:tc>
      </w:tr>
      <w:tr w:rsidR="003077CB" w:rsidRPr="0001609E" w14:paraId="663742C6" w14:textId="77777777" w:rsidTr="00EA057C">
        <w:trPr>
          <w:trHeight w:val="20"/>
        </w:trPr>
        <w:tc>
          <w:tcPr>
            <w:tcW w:w="1730" w:type="pct"/>
          </w:tcPr>
          <w:p w14:paraId="16B2FDAB" w14:textId="77777777" w:rsidR="003077CB" w:rsidRPr="0001609E" w:rsidRDefault="003077CB" w:rsidP="00C7412C">
            <w:pPr>
              <w:spacing w:before="20" w:after="20"/>
              <w:rPr>
                <w:rFonts w:cs="Arial"/>
                <w:sz w:val="20"/>
                <w:szCs w:val="20"/>
              </w:rPr>
            </w:pPr>
            <w:r w:rsidRPr="0001609E">
              <w:rPr>
                <w:rFonts w:cs="Arial"/>
                <w:sz w:val="20"/>
                <w:szCs w:val="20"/>
              </w:rPr>
              <w:t>DEER Building Types</w:t>
            </w:r>
          </w:p>
        </w:tc>
        <w:tc>
          <w:tcPr>
            <w:tcW w:w="3270" w:type="pct"/>
          </w:tcPr>
          <w:p w14:paraId="6BBA540C" w14:textId="44BF78E0" w:rsidR="003077CB" w:rsidRPr="005331F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424F1325" w14:textId="77777777" w:rsidTr="00EA057C">
        <w:trPr>
          <w:trHeight w:val="20"/>
        </w:trPr>
        <w:tc>
          <w:tcPr>
            <w:tcW w:w="1730" w:type="pct"/>
          </w:tcPr>
          <w:p w14:paraId="71098DDA" w14:textId="77777777" w:rsidR="003077CB" w:rsidRPr="0001609E" w:rsidRDefault="003077CB" w:rsidP="00C7412C">
            <w:pPr>
              <w:spacing w:before="20" w:after="20"/>
              <w:rPr>
                <w:rFonts w:cs="Arial"/>
                <w:sz w:val="20"/>
                <w:szCs w:val="20"/>
              </w:rPr>
            </w:pPr>
            <w:r w:rsidRPr="0001609E">
              <w:rPr>
                <w:rFonts w:cs="Arial"/>
                <w:sz w:val="20"/>
                <w:szCs w:val="20"/>
              </w:rPr>
              <w:lastRenderedPageBreak/>
              <w:t>DEER Operating Hours</w:t>
            </w:r>
          </w:p>
        </w:tc>
        <w:tc>
          <w:tcPr>
            <w:tcW w:w="3270" w:type="pct"/>
          </w:tcPr>
          <w:p w14:paraId="1693E1EE" w14:textId="008CF4C2" w:rsidR="003077CB" w:rsidRPr="005331F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0B93AD47" w14:textId="77777777" w:rsidTr="00EA057C">
        <w:trPr>
          <w:trHeight w:val="20"/>
        </w:trPr>
        <w:tc>
          <w:tcPr>
            <w:tcW w:w="1730" w:type="pct"/>
          </w:tcPr>
          <w:p w14:paraId="6E9E484F" w14:textId="77777777" w:rsidR="003077CB" w:rsidRPr="0001609E" w:rsidRDefault="003077CB" w:rsidP="00C7412C">
            <w:pPr>
              <w:spacing w:before="20" w:after="20"/>
              <w:rPr>
                <w:rFonts w:cs="Arial"/>
                <w:sz w:val="20"/>
                <w:szCs w:val="20"/>
              </w:rPr>
            </w:pPr>
            <w:r w:rsidRPr="0001609E">
              <w:rPr>
                <w:rFonts w:cs="Arial"/>
                <w:sz w:val="20"/>
                <w:szCs w:val="20"/>
              </w:rPr>
              <w:t>DEER eQUEST Prototypes</w:t>
            </w:r>
          </w:p>
        </w:tc>
        <w:tc>
          <w:tcPr>
            <w:tcW w:w="3270" w:type="pct"/>
          </w:tcPr>
          <w:p w14:paraId="4948DEAF" w14:textId="3A965F9D" w:rsidR="003077CB" w:rsidRPr="005331FC" w:rsidDel="00505CE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2CFDE9D3" w14:textId="77777777" w:rsidTr="00EA057C">
        <w:trPr>
          <w:trHeight w:val="180"/>
        </w:trPr>
        <w:tc>
          <w:tcPr>
            <w:tcW w:w="1730" w:type="pct"/>
          </w:tcPr>
          <w:p w14:paraId="3B6B3E22" w14:textId="77777777" w:rsidR="003077CB" w:rsidRPr="0001609E" w:rsidRDefault="003077CB" w:rsidP="00C7412C">
            <w:pPr>
              <w:spacing w:before="20" w:after="20"/>
              <w:rPr>
                <w:rFonts w:cs="Arial"/>
                <w:sz w:val="20"/>
                <w:szCs w:val="20"/>
              </w:rPr>
            </w:pPr>
            <w:r w:rsidRPr="0001609E">
              <w:rPr>
                <w:rFonts w:cs="Arial"/>
                <w:sz w:val="20"/>
                <w:szCs w:val="20"/>
              </w:rPr>
              <w:t>DEER Version</w:t>
            </w:r>
          </w:p>
        </w:tc>
        <w:tc>
          <w:tcPr>
            <w:tcW w:w="3270" w:type="pct"/>
          </w:tcPr>
          <w:p w14:paraId="1C3B60D1" w14:textId="5C6E6B77" w:rsidR="003077CB" w:rsidRPr="005331FC" w:rsidRDefault="003077CB" w:rsidP="00C7412C">
            <w:pPr>
              <w:spacing w:before="20" w:after="20"/>
              <w:rPr>
                <w:rFonts w:cs="Arial"/>
                <w:sz w:val="20"/>
                <w:szCs w:val="20"/>
              </w:rPr>
            </w:pPr>
            <w:r w:rsidRPr="005331FC">
              <w:rPr>
                <w:rFonts w:cstheme="minorHAnsi"/>
                <w:sz w:val="20"/>
                <w:szCs w:val="20"/>
              </w:rPr>
              <w:t>20</w:t>
            </w:r>
            <w:r w:rsidR="001F636D">
              <w:rPr>
                <w:rFonts w:cstheme="minorHAnsi"/>
                <w:sz w:val="20"/>
                <w:szCs w:val="20"/>
              </w:rPr>
              <w:t>20</w:t>
            </w:r>
          </w:p>
        </w:tc>
      </w:tr>
      <w:tr w:rsidR="003077CB" w:rsidRPr="0001609E" w14:paraId="3B7464D7" w14:textId="77777777" w:rsidTr="00EA057C">
        <w:trPr>
          <w:trHeight w:val="20"/>
        </w:trPr>
        <w:tc>
          <w:tcPr>
            <w:tcW w:w="1730" w:type="pct"/>
          </w:tcPr>
          <w:p w14:paraId="24000A76" w14:textId="77777777" w:rsidR="003077CB" w:rsidRPr="0001609E" w:rsidRDefault="003077CB" w:rsidP="00C7412C">
            <w:pPr>
              <w:spacing w:before="20" w:after="20"/>
              <w:rPr>
                <w:rFonts w:cs="Arial"/>
                <w:sz w:val="20"/>
                <w:szCs w:val="20"/>
              </w:rPr>
            </w:pPr>
            <w:r w:rsidRPr="0001609E">
              <w:rPr>
                <w:rFonts w:cs="Arial"/>
                <w:sz w:val="20"/>
                <w:szCs w:val="20"/>
              </w:rPr>
              <w:t>Reason for Deviation from DEER</w:t>
            </w:r>
          </w:p>
        </w:tc>
        <w:tc>
          <w:tcPr>
            <w:tcW w:w="3270" w:type="pct"/>
          </w:tcPr>
          <w:p w14:paraId="125AAB90" w14:textId="24E9C5C0" w:rsidR="003077CB" w:rsidRPr="005331FC" w:rsidRDefault="003077CB" w:rsidP="00C7412C">
            <w:pPr>
              <w:spacing w:before="20" w:after="20"/>
              <w:rPr>
                <w:rFonts w:cs="Arial"/>
                <w:sz w:val="20"/>
                <w:szCs w:val="20"/>
              </w:rPr>
            </w:pPr>
            <w:r w:rsidRPr="005331FC">
              <w:rPr>
                <w:rFonts w:cstheme="minorHAnsi"/>
                <w:sz w:val="20"/>
                <w:szCs w:val="20"/>
              </w:rPr>
              <w:t xml:space="preserve">CWP </w:t>
            </w:r>
            <w:r w:rsidR="00DC070D">
              <w:rPr>
                <w:rFonts w:cstheme="minorHAnsi"/>
                <w:sz w:val="20"/>
                <w:szCs w:val="20"/>
              </w:rPr>
              <w:t xml:space="preserve">and CHWP </w:t>
            </w:r>
            <w:r w:rsidRPr="005331FC">
              <w:rPr>
                <w:rFonts w:cstheme="minorHAnsi"/>
                <w:sz w:val="20"/>
                <w:szCs w:val="20"/>
              </w:rPr>
              <w:t>measure</w:t>
            </w:r>
            <w:r w:rsidR="005331FC">
              <w:rPr>
                <w:rFonts w:cstheme="minorHAnsi"/>
                <w:sz w:val="20"/>
                <w:szCs w:val="20"/>
              </w:rPr>
              <w:t xml:space="preserve"> offering</w:t>
            </w:r>
            <w:r w:rsidR="00DC070D">
              <w:rPr>
                <w:rFonts w:cstheme="minorHAnsi"/>
                <w:sz w:val="20"/>
                <w:szCs w:val="20"/>
              </w:rPr>
              <w:t>s are</w:t>
            </w:r>
            <w:r w:rsidRPr="005331FC">
              <w:rPr>
                <w:rFonts w:cstheme="minorHAnsi"/>
                <w:sz w:val="20"/>
                <w:szCs w:val="20"/>
              </w:rPr>
              <w:t xml:space="preserve"> not in DEER</w:t>
            </w:r>
            <w:r w:rsidR="00DC070D">
              <w:rPr>
                <w:rFonts w:cstheme="minorHAnsi"/>
                <w:sz w:val="20"/>
                <w:szCs w:val="20"/>
              </w:rPr>
              <w:t>2020</w:t>
            </w:r>
          </w:p>
        </w:tc>
      </w:tr>
      <w:tr w:rsidR="003077CB" w:rsidRPr="0001609E" w14:paraId="4A7EE859" w14:textId="77777777" w:rsidTr="00EA057C">
        <w:trPr>
          <w:trHeight w:val="20"/>
        </w:trPr>
        <w:tc>
          <w:tcPr>
            <w:tcW w:w="1730" w:type="pct"/>
          </w:tcPr>
          <w:p w14:paraId="7B4D686A" w14:textId="77777777" w:rsidR="003077CB" w:rsidRPr="0001609E" w:rsidRDefault="003077CB" w:rsidP="00C7412C">
            <w:pPr>
              <w:spacing w:before="20" w:after="20"/>
              <w:rPr>
                <w:rFonts w:cs="Arial"/>
                <w:sz w:val="20"/>
                <w:szCs w:val="20"/>
              </w:rPr>
            </w:pPr>
            <w:r w:rsidRPr="0001609E">
              <w:rPr>
                <w:rFonts w:cs="Arial"/>
                <w:sz w:val="20"/>
                <w:szCs w:val="20"/>
              </w:rPr>
              <w:t>DEER Measure IDs Used</w:t>
            </w:r>
          </w:p>
        </w:tc>
        <w:tc>
          <w:tcPr>
            <w:tcW w:w="3270" w:type="pct"/>
          </w:tcPr>
          <w:p w14:paraId="63ABA251" w14:textId="67A32B40" w:rsidR="003077CB" w:rsidRPr="005331FC" w:rsidRDefault="003077CB" w:rsidP="00C7412C">
            <w:pPr>
              <w:spacing w:before="20" w:after="20"/>
              <w:rPr>
                <w:rFonts w:cs="Arial"/>
                <w:sz w:val="20"/>
                <w:szCs w:val="20"/>
              </w:rPr>
            </w:pPr>
            <w:r w:rsidRPr="005331FC">
              <w:rPr>
                <w:rFonts w:cs="Arial"/>
                <w:sz w:val="20"/>
                <w:szCs w:val="20"/>
              </w:rPr>
              <w:t>N/A</w:t>
            </w:r>
          </w:p>
        </w:tc>
      </w:tr>
      <w:tr w:rsidR="00EA057C" w:rsidRPr="0001609E" w14:paraId="5A83EC74" w14:textId="77777777" w:rsidTr="00EA057C">
        <w:trPr>
          <w:trHeight w:val="20"/>
        </w:trPr>
        <w:tc>
          <w:tcPr>
            <w:tcW w:w="1730" w:type="pct"/>
          </w:tcPr>
          <w:p w14:paraId="2C82A9E0" w14:textId="121308D7" w:rsidR="00EA057C" w:rsidRPr="0001609E" w:rsidRDefault="00EA057C" w:rsidP="00C7412C">
            <w:pPr>
              <w:spacing w:before="20" w:after="20"/>
              <w:rPr>
                <w:rFonts w:cs="Arial"/>
                <w:sz w:val="20"/>
                <w:szCs w:val="20"/>
              </w:rPr>
            </w:pPr>
            <w:r w:rsidRPr="0001609E">
              <w:rPr>
                <w:rFonts w:cs="Arial"/>
                <w:sz w:val="20"/>
                <w:szCs w:val="20"/>
              </w:rPr>
              <w:t>NTG</w:t>
            </w:r>
          </w:p>
        </w:tc>
        <w:tc>
          <w:tcPr>
            <w:tcW w:w="3270" w:type="pct"/>
          </w:tcPr>
          <w:p w14:paraId="2BBBB10C" w14:textId="1E382FC0" w:rsidR="00EA057C" w:rsidRPr="005331FC" w:rsidRDefault="005A74DC" w:rsidP="00C7412C">
            <w:pPr>
              <w:spacing w:before="20" w:after="20"/>
              <w:rPr>
                <w:rFonts w:cs="Arial"/>
                <w:sz w:val="20"/>
                <w:szCs w:val="20"/>
              </w:rPr>
            </w:pPr>
            <w:r w:rsidRPr="005331FC">
              <w:rPr>
                <w:rFonts w:cs="Arial"/>
                <w:sz w:val="20"/>
                <w:szCs w:val="20"/>
              </w:rPr>
              <w:t xml:space="preserve">Source: </w:t>
            </w:r>
            <w:r w:rsidR="00701FFC" w:rsidRPr="005331FC">
              <w:rPr>
                <w:rFonts w:cs="Arial"/>
                <w:sz w:val="20"/>
                <w:szCs w:val="20"/>
              </w:rPr>
              <w:t>DEER</w:t>
            </w:r>
            <w:r w:rsidR="009F2744">
              <w:rPr>
                <w:rFonts w:cs="Arial"/>
                <w:sz w:val="20"/>
                <w:szCs w:val="20"/>
              </w:rPr>
              <w:t>2019</w:t>
            </w:r>
            <w:r w:rsidRPr="005331FC">
              <w:rPr>
                <w:rFonts w:cs="Arial"/>
                <w:sz w:val="20"/>
                <w:szCs w:val="20"/>
              </w:rPr>
              <w:t xml:space="preserve">. The NTG of </w:t>
            </w:r>
            <w:r w:rsidR="001501B3" w:rsidRPr="005331FC">
              <w:rPr>
                <w:rFonts w:cs="Arial"/>
                <w:sz w:val="20"/>
                <w:szCs w:val="20"/>
              </w:rPr>
              <w:t>0.</w:t>
            </w:r>
            <w:r w:rsidR="003077CB" w:rsidRPr="005331FC">
              <w:rPr>
                <w:rFonts w:cs="Arial"/>
                <w:sz w:val="20"/>
                <w:szCs w:val="20"/>
              </w:rPr>
              <w:t>60</w:t>
            </w:r>
            <w:r w:rsidRPr="005331FC">
              <w:rPr>
                <w:rFonts w:cs="Arial"/>
                <w:sz w:val="20"/>
                <w:szCs w:val="20"/>
              </w:rPr>
              <w:t xml:space="preserve"> is associated with NTG ID: </w:t>
            </w:r>
            <w:r w:rsidR="003077CB" w:rsidRPr="005331FC">
              <w:rPr>
                <w:rFonts w:cs="Arial"/>
                <w:i/>
                <w:sz w:val="20"/>
                <w:szCs w:val="20"/>
              </w:rPr>
              <w:t>Com</w:t>
            </w:r>
            <w:r w:rsidR="001501B3" w:rsidRPr="005331FC">
              <w:rPr>
                <w:rFonts w:cs="Arial"/>
                <w:i/>
                <w:sz w:val="20"/>
                <w:szCs w:val="20"/>
              </w:rPr>
              <w:t>-Default&gt;2</w:t>
            </w:r>
            <w:r w:rsidR="003077CB" w:rsidRPr="005331FC">
              <w:rPr>
                <w:rFonts w:cs="Arial"/>
                <w:i/>
                <w:sz w:val="20"/>
                <w:szCs w:val="20"/>
              </w:rPr>
              <w:t>yrs</w:t>
            </w:r>
          </w:p>
        </w:tc>
      </w:tr>
      <w:tr w:rsidR="00EA057C" w:rsidRPr="0001609E" w14:paraId="131D1F9D" w14:textId="77777777" w:rsidTr="00EA057C">
        <w:trPr>
          <w:trHeight w:val="20"/>
        </w:trPr>
        <w:tc>
          <w:tcPr>
            <w:tcW w:w="1730" w:type="pct"/>
          </w:tcPr>
          <w:p w14:paraId="45FFA983" w14:textId="5F527A83" w:rsidR="00EA057C" w:rsidRPr="0001609E" w:rsidRDefault="00EA057C" w:rsidP="00C7412C">
            <w:pPr>
              <w:spacing w:before="20" w:after="20"/>
              <w:rPr>
                <w:rFonts w:cs="Arial"/>
                <w:sz w:val="20"/>
                <w:szCs w:val="20"/>
              </w:rPr>
            </w:pPr>
            <w:r w:rsidRPr="0001609E">
              <w:rPr>
                <w:rFonts w:cs="Arial"/>
                <w:sz w:val="20"/>
                <w:szCs w:val="20"/>
              </w:rPr>
              <w:t>GSIA</w:t>
            </w:r>
          </w:p>
        </w:tc>
        <w:tc>
          <w:tcPr>
            <w:tcW w:w="3270" w:type="pct"/>
          </w:tcPr>
          <w:p w14:paraId="7C16D603" w14:textId="280C7252" w:rsidR="00EA057C" w:rsidRPr="005331FC" w:rsidRDefault="005A74DC" w:rsidP="00C7412C">
            <w:pPr>
              <w:spacing w:before="20" w:after="20"/>
              <w:rPr>
                <w:rFonts w:cs="Arial"/>
                <w:sz w:val="20"/>
                <w:szCs w:val="20"/>
              </w:rPr>
            </w:pPr>
            <w:r w:rsidRPr="005331FC">
              <w:rPr>
                <w:rFonts w:cs="Arial"/>
                <w:sz w:val="20"/>
                <w:szCs w:val="20"/>
              </w:rPr>
              <w:t xml:space="preserve">Source: </w:t>
            </w:r>
            <w:r w:rsidR="00701FFC" w:rsidRPr="005331FC">
              <w:rPr>
                <w:rFonts w:cs="Arial"/>
                <w:sz w:val="20"/>
                <w:szCs w:val="20"/>
              </w:rPr>
              <w:t>DEER</w:t>
            </w:r>
            <w:r w:rsidR="009F2744">
              <w:rPr>
                <w:rFonts w:cs="Arial"/>
                <w:sz w:val="20"/>
                <w:szCs w:val="20"/>
              </w:rPr>
              <w:t>2011</w:t>
            </w:r>
            <w:r w:rsidRPr="005331FC">
              <w:rPr>
                <w:rFonts w:cs="Arial"/>
                <w:sz w:val="20"/>
                <w:szCs w:val="20"/>
              </w:rPr>
              <w:t xml:space="preserve">. The GSIA of </w:t>
            </w:r>
            <w:r w:rsidR="006C1EAE" w:rsidRPr="005331FC">
              <w:rPr>
                <w:rFonts w:cs="Arial"/>
                <w:sz w:val="20"/>
                <w:szCs w:val="20"/>
              </w:rPr>
              <w:t>1.0</w:t>
            </w:r>
            <w:r w:rsidRPr="005331FC">
              <w:rPr>
                <w:rFonts w:cs="Arial"/>
                <w:sz w:val="20"/>
                <w:szCs w:val="20"/>
              </w:rPr>
              <w:t xml:space="preserve"> is associated with GSIA ID: </w:t>
            </w:r>
            <w:r w:rsidR="006C1EAE" w:rsidRPr="005331FC">
              <w:rPr>
                <w:rFonts w:cs="Arial"/>
                <w:i/>
                <w:sz w:val="20"/>
                <w:szCs w:val="20"/>
              </w:rPr>
              <w:t>Def-GSIA</w:t>
            </w:r>
          </w:p>
        </w:tc>
      </w:tr>
      <w:tr w:rsidR="00EA057C" w:rsidRPr="0001609E" w14:paraId="4D0F7E1B" w14:textId="77777777" w:rsidTr="00EA057C">
        <w:trPr>
          <w:trHeight w:val="20"/>
        </w:trPr>
        <w:tc>
          <w:tcPr>
            <w:tcW w:w="1730" w:type="pct"/>
          </w:tcPr>
          <w:p w14:paraId="103BA947" w14:textId="6665B2EA" w:rsidR="00EA057C" w:rsidRPr="0001609E" w:rsidRDefault="00EA057C" w:rsidP="00C7412C">
            <w:pPr>
              <w:spacing w:before="20" w:after="20"/>
              <w:rPr>
                <w:rFonts w:cs="Arial"/>
                <w:sz w:val="20"/>
                <w:szCs w:val="20"/>
              </w:rPr>
            </w:pPr>
            <w:r w:rsidRPr="0001609E">
              <w:rPr>
                <w:rFonts w:cs="Arial"/>
                <w:sz w:val="20"/>
                <w:szCs w:val="20"/>
              </w:rPr>
              <w:t>EUL/RUL</w:t>
            </w:r>
          </w:p>
        </w:tc>
        <w:tc>
          <w:tcPr>
            <w:tcW w:w="3270" w:type="pct"/>
          </w:tcPr>
          <w:p w14:paraId="5BD9C961" w14:textId="7A596467" w:rsidR="00EA057C" w:rsidRPr="005331FC" w:rsidRDefault="005A74DC" w:rsidP="00C7412C">
            <w:pPr>
              <w:spacing w:before="20" w:after="20"/>
              <w:rPr>
                <w:rFonts w:cs="Arial"/>
                <w:sz w:val="20"/>
                <w:szCs w:val="20"/>
              </w:rPr>
            </w:pPr>
            <w:r w:rsidRPr="005331FC">
              <w:rPr>
                <w:rFonts w:cs="Arial"/>
                <w:sz w:val="20"/>
                <w:szCs w:val="20"/>
              </w:rPr>
              <w:t xml:space="preserve">Source: </w:t>
            </w:r>
            <w:r w:rsidR="00701FFC" w:rsidRPr="005331FC">
              <w:rPr>
                <w:rFonts w:cs="Arial"/>
                <w:sz w:val="20"/>
                <w:szCs w:val="20"/>
              </w:rPr>
              <w:t>DEER</w:t>
            </w:r>
            <w:r w:rsidR="008500EA">
              <w:rPr>
                <w:rFonts w:cs="Arial"/>
                <w:sz w:val="20"/>
                <w:szCs w:val="20"/>
              </w:rPr>
              <w:t>2014</w:t>
            </w:r>
            <w:r w:rsidRPr="005331FC">
              <w:rPr>
                <w:rFonts w:cs="Arial"/>
                <w:sz w:val="20"/>
                <w:szCs w:val="20"/>
              </w:rPr>
              <w:t xml:space="preserve">. The value of </w:t>
            </w:r>
            <w:r w:rsidR="00701FFC" w:rsidRPr="005331FC">
              <w:rPr>
                <w:rFonts w:cs="Arial"/>
                <w:sz w:val="20"/>
                <w:szCs w:val="20"/>
              </w:rPr>
              <w:t>15</w:t>
            </w:r>
            <w:r w:rsidRPr="005331FC">
              <w:rPr>
                <w:rFonts w:cs="Arial"/>
                <w:sz w:val="20"/>
                <w:szCs w:val="20"/>
              </w:rPr>
              <w:t xml:space="preserve"> years is associated with EUL ID</w:t>
            </w:r>
            <w:r w:rsidR="000C60E3">
              <w:rPr>
                <w:rFonts w:cs="Arial"/>
                <w:sz w:val="20"/>
                <w:szCs w:val="20"/>
              </w:rPr>
              <w:t xml:space="preserve"> and RUL ID</w:t>
            </w:r>
            <w:r w:rsidRPr="005331FC">
              <w:rPr>
                <w:rFonts w:cs="Arial"/>
                <w:sz w:val="20"/>
                <w:szCs w:val="20"/>
              </w:rPr>
              <w:t xml:space="preserve">: </w:t>
            </w:r>
            <w:r w:rsidR="003077CB" w:rsidRPr="005331FC">
              <w:rPr>
                <w:rFonts w:cs="Arial"/>
                <w:i/>
                <w:sz w:val="20"/>
                <w:szCs w:val="20"/>
              </w:rPr>
              <w:t>HVAC-VSD-pump</w:t>
            </w:r>
            <w:r w:rsidRPr="005331FC">
              <w:rPr>
                <w:rFonts w:cs="Arial"/>
                <w:sz w:val="20"/>
                <w:szCs w:val="20"/>
              </w:rPr>
              <w:t>.</w:t>
            </w:r>
            <w:r w:rsidR="0095396E" w:rsidRPr="005331FC">
              <w:rPr>
                <w:rFonts w:cs="Arial"/>
                <w:sz w:val="20"/>
                <w:szCs w:val="20"/>
              </w:rPr>
              <w:t xml:space="preserve"> </w:t>
            </w:r>
          </w:p>
        </w:tc>
      </w:tr>
    </w:tbl>
    <w:p w14:paraId="3D440479" w14:textId="77777777" w:rsidR="00EA057C" w:rsidRPr="0001609E" w:rsidRDefault="00EA057C" w:rsidP="004142EF">
      <w:bookmarkStart w:id="72" w:name="_Hlk516051142"/>
    </w:p>
    <w:p w14:paraId="59542C0D" w14:textId="77777777" w:rsidR="007D230B" w:rsidRPr="0001609E" w:rsidRDefault="007D230B" w:rsidP="0016415E">
      <w:pPr>
        <w:pStyle w:val="eTRMHeading3"/>
      </w:pPr>
      <w:bookmarkStart w:id="73" w:name="_Toc486490866"/>
      <w:bookmarkStart w:id="74" w:name="_Toc486580937"/>
      <w:bookmarkStart w:id="75" w:name="_Toc12448797"/>
      <w:bookmarkStart w:id="76" w:name="_Hlk516047558"/>
      <w:r w:rsidRPr="0001609E">
        <w:t>Revision History</w:t>
      </w:r>
      <w:bookmarkEnd w:id="73"/>
      <w:bookmarkEnd w:id="74"/>
      <w:bookmarkEnd w:id="75"/>
    </w:p>
    <w:p w14:paraId="3661732B" w14:textId="6E964483" w:rsidR="00CA1CB3" w:rsidRPr="0001609E" w:rsidRDefault="00742F88" w:rsidP="0038465D">
      <w:pPr>
        <w:pStyle w:val="Caption"/>
      </w:pPr>
      <w:bookmarkStart w:id="77" w:name="_Hlk515959178"/>
      <w:r w:rsidRPr="0001609E">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664"/>
        <w:gridCol w:w="1801"/>
        <w:gridCol w:w="4944"/>
      </w:tblGrid>
      <w:tr w:rsidR="00CA1CB3" w:rsidRPr="0001609E" w14:paraId="1904D58C" w14:textId="6E96D877" w:rsidTr="00670A2B">
        <w:trPr>
          <w:trHeight w:val="20"/>
        </w:trPr>
        <w:tc>
          <w:tcPr>
            <w:tcW w:w="503" w:type="pct"/>
            <w:shd w:val="clear" w:color="auto" w:fill="F2F2F2" w:themeFill="background1" w:themeFillShade="F2"/>
            <w:vAlign w:val="bottom"/>
          </w:tcPr>
          <w:p w14:paraId="5365A71C" w14:textId="5EB86E00" w:rsidR="00CA1CB3" w:rsidRPr="0001609E" w:rsidRDefault="00CA1CB3" w:rsidP="00C7412C">
            <w:pPr>
              <w:tabs>
                <w:tab w:val="right" w:pos="2957"/>
              </w:tabs>
              <w:spacing w:before="20" w:after="20"/>
              <w:rPr>
                <w:rFonts w:cs="Arial"/>
                <w:b/>
                <w:sz w:val="20"/>
                <w:szCs w:val="20"/>
              </w:rPr>
            </w:pPr>
            <w:r w:rsidRPr="0001609E">
              <w:rPr>
                <w:rFonts w:cs="Arial"/>
                <w:b/>
                <w:sz w:val="20"/>
                <w:szCs w:val="20"/>
              </w:rPr>
              <w:t>Revision Number</w:t>
            </w:r>
          </w:p>
        </w:tc>
        <w:tc>
          <w:tcPr>
            <w:tcW w:w="890" w:type="pct"/>
            <w:shd w:val="clear" w:color="auto" w:fill="F2F2F2" w:themeFill="background1" w:themeFillShade="F2"/>
            <w:vAlign w:val="bottom"/>
          </w:tcPr>
          <w:p w14:paraId="7DC8BCED" w14:textId="01B61281" w:rsidR="00CA1CB3" w:rsidRPr="0001609E" w:rsidRDefault="00670A2B" w:rsidP="00C7412C">
            <w:pPr>
              <w:spacing w:before="20" w:after="20"/>
              <w:rPr>
                <w:rFonts w:cs="Arial"/>
                <w:b/>
                <w:sz w:val="20"/>
                <w:szCs w:val="20"/>
              </w:rPr>
            </w:pPr>
            <w:r>
              <w:rPr>
                <w:rFonts w:cs="Arial"/>
                <w:b/>
                <w:sz w:val="20"/>
                <w:szCs w:val="20"/>
              </w:rPr>
              <w:t xml:space="preserve">Revision Complete </w:t>
            </w:r>
            <w:r w:rsidR="00CA1CB3" w:rsidRPr="0001609E">
              <w:rPr>
                <w:rFonts w:cs="Arial"/>
                <w:b/>
                <w:sz w:val="20"/>
                <w:szCs w:val="20"/>
              </w:rPr>
              <w:t>Date</w:t>
            </w:r>
          </w:p>
        </w:tc>
        <w:tc>
          <w:tcPr>
            <w:tcW w:w="963" w:type="pct"/>
            <w:shd w:val="clear" w:color="auto" w:fill="F2F2F2" w:themeFill="background1" w:themeFillShade="F2"/>
            <w:vAlign w:val="bottom"/>
          </w:tcPr>
          <w:p w14:paraId="10DC2402" w14:textId="63223EB6" w:rsidR="00CA1CB3" w:rsidRPr="0001609E" w:rsidRDefault="00CA1CB3" w:rsidP="00C7412C">
            <w:pPr>
              <w:spacing w:before="20" w:after="20"/>
              <w:rPr>
                <w:rFonts w:cs="Arial"/>
                <w:b/>
                <w:sz w:val="20"/>
                <w:szCs w:val="20"/>
              </w:rPr>
            </w:pPr>
            <w:r w:rsidRPr="0001609E">
              <w:rPr>
                <w:rFonts w:cs="Arial"/>
                <w:b/>
                <w:sz w:val="20"/>
                <w:szCs w:val="20"/>
              </w:rPr>
              <w:t>Primary Author, Title, Organization</w:t>
            </w:r>
          </w:p>
        </w:tc>
        <w:tc>
          <w:tcPr>
            <w:tcW w:w="2644" w:type="pct"/>
            <w:shd w:val="clear" w:color="auto" w:fill="F2F2F2" w:themeFill="background1" w:themeFillShade="F2"/>
            <w:vAlign w:val="bottom"/>
          </w:tcPr>
          <w:p w14:paraId="27C17E65" w14:textId="222C519C" w:rsidR="00CA1CB3" w:rsidRPr="0001609E" w:rsidRDefault="00CA1CB3" w:rsidP="00C7412C">
            <w:pPr>
              <w:spacing w:before="20" w:after="20"/>
              <w:rPr>
                <w:rFonts w:cs="Arial"/>
                <w:b/>
                <w:sz w:val="20"/>
                <w:szCs w:val="20"/>
              </w:rPr>
            </w:pPr>
            <w:r w:rsidRPr="0001609E">
              <w:rPr>
                <w:rFonts w:cs="Arial"/>
                <w:b/>
                <w:sz w:val="20"/>
                <w:szCs w:val="20"/>
              </w:rPr>
              <w:t>Revision Summary and Rationale for Revision</w:t>
            </w:r>
          </w:p>
          <w:p w14:paraId="2BFB4352" w14:textId="49C04F88" w:rsidR="00CA1CB3" w:rsidRPr="0001609E" w:rsidRDefault="00CA1CB3" w:rsidP="00C7412C">
            <w:pPr>
              <w:spacing w:before="20" w:after="20"/>
              <w:rPr>
                <w:rFonts w:cs="Arial"/>
                <w:b/>
                <w:sz w:val="20"/>
                <w:szCs w:val="20"/>
              </w:rPr>
            </w:pPr>
            <w:r w:rsidRPr="0001609E">
              <w:rPr>
                <w:rFonts w:cs="Arial"/>
                <w:b/>
                <w:sz w:val="20"/>
                <w:szCs w:val="20"/>
              </w:rPr>
              <w:t>Effective Date and Approved By</w:t>
            </w:r>
          </w:p>
        </w:tc>
      </w:tr>
      <w:tr w:rsidR="00CA1CB3" w:rsidRPr="00CA1CB3" w14:paraId="0A9DBD7D" w14:textId="04A29668" w:rsidTr="00670A2B">
        <w:trPr>
          <w:trHeight w:val="20"/>
        </w:trPr>
        <w:tc>
          <w:tcPr>
            <w:tcW w:w="503" w:type="pct"/>
          </w:tcPr>
          <w:p w14:paraId="38788C98" w14:textId="650C945D" w:rsidR="00CA1CB3" w:rsidRPr="0001609E" w:rsidRDefault="00CA1CB3" w:rsidP="00C7412C">
            <w:pPr>
              <w:spacing w:before="20" w:after="20"/>
              <w:rPr>
                <w:rFonts w:cs="Arial"/>
                <w:sz w:val="20"/>
                <w:szCs w:val="20"/>
              </w:rPr>
            </w:pPr>
            <w:r w:rsidRPr="0001609E">
              <w:rPr>
                <w:rFonts w:cs="Arial"/>
                <w:sz w:val="20"/>
                <w:szCs w:val="20"/>
              </w:rPr>
              <w:t>0</w:t>
            </w:r>
            <w:r w:rsidR="00742F88" w:rsidRPr="0001609E">
              <w:rPr>
                <w:rFonts w:cs="Arial"/>
                <w:sz w:val="20"/>
                <w:szCs w:val="20"/>
              </w:rPr>
              <w:t>1</w:t>
            </w:r>
          </w:p>
        </w:tc>
        <w:tc>
          <w:tcPr>
            <w:tcW w:w="890" w:type="pct"/>
          </w:tcPr>
          <w:p w14:paraId="03B67B1D" w14:textId="0D5BCF6F" w:rsidR="00CA1CB3" w:rsidRPr="0001609E" w:rsidRDefault="001501B3" w:rsidP="00C7412C">
            <w:pPr>
              <w:spacing w:before="20" w:after="20"/>
              <w:rPr>
                <w:rFonts w:cs="Arial"/>
                <w:sz w:val="20"/>
                <w:szCs w:val="20"/>
              </w:rPr>
            </w:pPr>
            <w:r>
              <w:rPr>
                <w:rFonts w:cs="Arial"/>
                <w:sz w:val="20"/>
                <w:szCs w:val="20"/>
              </w:rPr>
              <w:t>09/30/2018</w:t>
            </w:r>
          </w:p>
        </w:tc>
        <w:tc>
          <w:tcPr>
            <w:tcW w:w="963" w:type="pct"/>
          </w:tcPr>
          <w:p w14:paraId="24160CE8" w14:textId="2B287FEA" w:rsidR="00670A7E" w:rsidRPr="0001609E" w:rsidRDefault="001501B3" w:rsidP="00C7412C">
            <w:pPr>
              <w:spacing w:before="20" w:after="20"/>
              <w:rPr>
                <w:rFonts w:cs="Arial"/>
                <w:sz w:val="20"/>
                <w:szCs w:val="20"/>
              </w:rPr>
            </w:pPr>
            <w:r>
              <w:rPr>
                <w:rFonts w:cs="Arial"/>
                <w:sz w:val="20"/>
                <w:szCs w:val="20"/>
              </w:rPr>
              <w:t>Jennifer Holmes</w:t>
            </w:r>
          </w:p>
          <w:p w14:paraId="32D154D7" w14:textId="0FB8154E" w:rsidR="00CA1CB3" w:rsidRPr="0001609E" w:rsidRDefault="00670A7E" w:rsidP="00C7412C">
            <w:pPr>
              <w:spacing w:before="20" w:after="20"/>
              <w:rPr>
                <w:rFonts w:cs="Arial"/>
                <w:sz w:val="20"/>
                <w:szCs w:val="20"/>
              </w:rPr>
            </w:pPr>
            <w:r w:rsidRPr="0001609E">
              <w:rPr>
                <w:rFonts w:cs="Arial"/>
                <w:sz w:val="20"/>
                <w:szCs w:val="20"/>
              </w:rPr>
              <w:t>Cal TF Staff</w:t>
            </w:r>
          </w:p>
        </w:tc>
        <w:tc>
          <w:tcPr>
            <w:tcW w:w="2644" w:type="pct"/>
          </w:tcPr>
          <w:p w14:paraId="0C93091A" w14:textId="77777777" w:rsidR="009669D2" w:rsidRPr="0001609E" w:rsidRDefault="00670A7E" w:rsidP="00C7412C">
            <w:pPr>
              <w:spacing w:before="20" w:after="20"/>
              <w:rPr>
                <w:rFonts w:cs="Arial"/>
                <w:sz w:val="20"/>
                <w:szCs w:val="20"/>
              </w:rPr>
            </w:pPr>
            <w:r w:rsidRPr="0001609E">
              <w:rPr>
                <w:rFonts w:cs="Arial"/>
                <w:sz w:val="20"/>
                <w:szCs w:val="20"/>
              </w:rPr>
              <w:t xml:space="preserve">Draft of consolidated text </w:t>
            </w:r>
            <w:r w:rsidR="007F4F97" w:rsidRPr="0001609E">
              <w:rPr>
                <w:rFonts w:cs="Arial"/>
                <w:sz w:val="20"/>
                <w:szCs w:val="20"/>
              </w:rPr>
              <w:t xml:space="preserve">for this statewide measure is </w:t>
            </w:r>
            <w:r w:rsidRPr="0001609E">
              <w:rPr>
                <w:rFonts w:cs="Arial"/>
                <w:sz w:val="20"/>
                <w:szCs w:val="20"/>
              </w:rPr>
              <w:t>based upon</w:t>
            </w:r>
            <w:r w:rsidR="009669D2" w:rsidRPr="0001609E">
              <w:rPr>
                <w:rFonts w:cs="Arial"/>
                <w:sz w:val="20"/>
                <w:szCs w:val="20"/>
              </w:rPr>
              <w:t>:</w:t>
            </w:r>
          </w:p>
          <w:p w14:paraId="631B06C1" w14:textId="50EB0DF5" w:rsidR="009669D2" w:rsidRPr="0001609E" w:rsidRDefault="0044543F" w:rsidP="00C7412C">
            <w:pPr>
              <w:spacing w:before="20" w:after="20"/>
              <w:rPr>
                <w:rFonts w:cs="Arial"/>
                <w:sz w:val="20"/>
                <w:szCs w:val="20"/>
              </w:rPr>
            </w:pPr>
            <w:r>
              <w:rPr>
                <w:rFonts w:cs="Arial"/>
                <w:sz w:val="20"/>
                <w:szCs w:val="20"/>
              </w:rPr>
              <w:t>SCE17HC039, Revision 2 (August 17, 2018)</w:t>
            </w:r>
          </w:p>
          <w:p w14:paraId="6C70C36F" w14:textId="607BA92E" w:rsidR="007F4F97" w:rsidRPr="00CA1CB3" w:rsidRDefault="009669D2" w:rsidP="00C7412C">
            <w:pPr>
              <w:spacing w:before="20" w:after="20"/>
              <w:rPr>
                <w:rFonts w:cs="Arial"/>
                <w:sz w:val="20"/>
                <w:szCs w:val="20"/>
              </w:rPr>
            </w:pPr>
            <w:r w:rsidRPr="0001609E">
              <w:rPr>
                <w:rFonts w:cs="Arial"/>
                <w:sz w:val="20"/>
                <w:szCs w:val="20"/>
              </w:rPr>
              <w:t>C</w:t>
            </w:r>
            <w:r w:rsidR="007F4F97" w:rsidRPr="0001609E">
              <w:rPr>
                <w:rFonts w:cs="Arial"/>
                <w:sz w:val="20"/>
                <w:szCs w:val="20"/>
              </w:rPr>
              <w:t>onsensus reached among Cal TF members.</w:t>
            </w:r>
            <w:r w:rsidR="00E647AA" w:rsidRPr="00CA1CB3">
              <w:rPr>
                <w:rFonts w:cs="Arial"/>
                <w:sz w:val="20"/>
                <w:szCs w:val="20"/>
              </w:rPr>
              <w:t xml:space="preserve"> </w:t>
            </w:r>
          </w:p>
        </w:tc>
      </w:tr>
      <w:tr w:rsidR="00BE69BF" w:rsidRPr="00CA1CB3" w14:paraId="182937ED" w14:textId="77777777" w:rsidTr="00670A2B">
        <w:trPr>
          <w:trHeight w:val="20"/>
        </w:trPr>
        <w:tc>
          <w:tcPr>
            <w:tcW w:w="503" w:type="pct"/>
          </w:tcPr>
          <w:p w14:paraId="018EC02F" w14:textId="78E21D2A" w:rsidR="00BE69BF" w:rsidRPr="0001609E" w:rsidRDefault="00BE69BF" w:rsidP="00C7412C">
            <w:pPr>
              <w:spacing w:before="20" w:after="20"/>
              <w:rPr>
                <w:rFonts w:cs="Arial"/>
                <w:sz w:val="20"/>
                <w:szCs w:val="20"/>
              </w:rPr>
            </w:pPr>
          </w:p>
        </w:tc>
        <w:tc>
          <w:tcPr>
            <w:tcW w:w="890" w:type="pct"/>
          </w:tcPr>
          <w:p w14:paraId="5C6F727C" w14:textId="2454C3AE" w:rsidR="00BE69BF" w:rsidRDefault="00BE69BF" w:rsidP="00C7412C">
            <w:pPr>
              <w:spacing w:before="20" w:after="20"/>
              <w:rPr>
                <w:rFonts w:cs="Arial"/>
                <w:sz w:val="20"/>
                <w:szCs w:val="20"/>
              </w:rPr>
            </w:pPr>
            <w:r>
              <w:rPr>
                <w:rFonts w:cs="Arial"/>
                <w:sz w:val="20"/>
                <w:szCs w:val="20"/>
              </w:rPr>
              <w:t>06/05/2019</w:t>
            </w:r>
          </w:p>
        </w:tc>
        <w:tc>
          <w:tcPr>
            <w:tcW w:w="963" w:type="pct"/>
          </w:tcPr>
          <w:p w14:paraId="79D82870" w14:textId="1585C27B" w:rsidR="008F3632" w:rsidRDefault="00BE69BF" w:rsidP="00C7412C">
            <w:pPr>
              <w:spacing w:before="20" w:after="20"/>
              <w:rPr>
                <w:rFonts w:cs="Arial"/>
                <w:sz w:val="20"/>
                <w:szCs w:val="20"/>
              </w:rPr>
            </w:pPr>
            <w:r>
              <w:rPr>
                <w:rFonts w:cs="Arial"/>
                <w:sz w:val="20"/>
                <w:szCs w:val="20"/>
              </w:rPr>
              <w:t xml:space="preserve">Akhilesh Reddy Endurthy </w:t>
            </w:r>
            <w:r w:rsidR="008F3632">
              <w:rPr>
                <w:rFonts w:cs="Arial"/>
                <w:sz w:val="20"/>
                <w:szCs w:val="20"/>
              </w:rPr>
              <w:t xml:space="preserve">&amp; </w:t>
            </w:r>
            <w:r>
              <w:rPr>
                <w:rFonts w:cs="Arial"/>
                <w:sz w:val="20"/>
                <w:szCs w:val="20"/>
              </w:rPr>
              <w:t>Nicholas Fette</w:t>
            </w:r>
          </w:p>
          <w:p w14:paraId="3A87EDB8" w14:textId="38025AAF" w:rsidR="00BE69BF" w:rsidRDefault="00BE69BF" w:rsidP="00C7412C">
            <w:pPr>
              <w:spacing w:before="20" w:after="20"/>
              <w:rPr>
                <w:rFonts w:cs="Arial"/>
                <w:sz w:val="20"/>
                <w:szCs w:val="20"/>
              </w:rPr>
            </w:pPr>
            <w:r>
              <w:rPr>
                <w:rFonts w:cs="Arial"/>
                <w:sz w:val="20"/>
                <w:szCs w:val="20"/>
              </w:rPr>
              <w:t xml:space="preserve">Solaris-Technical, LLC. </w:t>
            </w:r>
          </w:p>
        </w:tc>
        <w:tc>
          <w:tcPr>
            <w:tcW w:w="2644" w:type="pct"/>
          </w:tcPr>
          <w:p w14:paraId="0BB775A7" w14:textId="48951B64" w:rsidR="00BE69BF" w:rsidRPr="0001609E" w:rsidRDefault="00BE69BF" w:rsidP="00C7412C">
            <w:pPr>
              <w:spacing w:before="20" w:after="20"/>
              <w:rPr>
                <w:rFonts w:cs="Arial"/>
                <w:sz w:val="20"/>
                <w:szCs w:val="20"/>
              </w:rPr>
            </w:pPr>
            <w:r>
              <w:rPr>
                <w:rFonts w:cs="Arial"/>
                <w:sz w:val="20"/>
                <w:szCs w:val="20"/>
              </w:rPr>
              <w:t xml:space="preserve">DEER2020 updates </w:t>
            </w:r>
          </w:p>
        </w:tc>
      </w:tr>
      <w:tr w:rsidR="008F3632" w:rsidRPr="00CA1CB3" w14:paraId="4E7E34E3" w14:textId="77777777" w:rsidTr="00670A2B">
        <w:trPr>
          <w:trHeight w:val="20"/>
        </w:trPr>
        <w:tc>
          <w:tcPr>
            <w:tcW w:w="503" w:type="pct"/>
          </w:tcPr>
          <w:p w14:paraId="6101D42A" w14:textId="77777777" w:rsidR="008F3632" w:rsidRDefault="008F3632" w:rsidP="008F3632">
            <w:pPr>
              <w:spacing w:before="20" w:after="20"/>
              <w:rPr>
                <w:rFonts w:cs="Arial"/>
                <w:sz w:val="20"/>
                <w:szCs w:val="20"/>
              </w:rPr>
            </w:pPr>
          </w:p>
        </w:tc>
        <w:tc>
          <w:tcPr>
            <w:tcW w:w="890" w:type="pct"/>
          </w:tcPr>
          <w:p w14:paraId="1E354220" w14:textId="2C792189" w:rsidR="008F3632" w:rsidRDefault="008F3632" w:rsidP="008F3632">
            <w:pPr>
              <w:spacing w:before="20" w:after="20"/>
              <w:rPr>
                <w:rFonts w:cs="Arial"/>
                <w:sz w:val="20"/>
                <w:szCs w:val="20"/>
              </w:rPr>
            </w:pPr>
            <w:r>
              <w:rPr>
                <w:rFonts w:cs="Arial"/>
                <w:sz w:val="20"/>
                <w:szCs w:val="20"/>
              </w:rPr>
              <w:t>06/</w:t>
            </w:r>
            <w:r w:rsidR="006B18EF">
              <w:rPr>
                <w:rFonts w:cs="Arial"/>
                <w:sz w:val="20"/>
                <w:szCs w:val="20"/>
              </w:rPr>
              <w:t>26</w:t>
            </w:r>
            <w:r>
              <w:rPr>
                <w:rFonts w:cs="Arial"/>
                <w:sz w:val="20"/>
                <w:szCs w:val="20"/>
              </w:rPr>
              <w:t>/2019</w:t>
            </w:r>
          </w:p>
        </w:tc>
        <w:tc>
          <w:tcPr>
            <w:tcW w:w="963" w:type="pct"/>
          </w:tcPr>
          <w:p w14:paraId="580A9AB2" w14:textId="77777777" w:rsidR="008F3632" w:rsidRPr="0001609E" w:rsidRDefault="008F3632" w:rsidP="008F3632">
            <w:pPr>
              <w:spacing w:before="20" w:after="20"/>
              <w:rPr>
                <w:rFonts w:cs="Arial"/>
                <w:sz w:val="20"/>
                <w:szCs w:val="20"/>
              </w:rPr>
            </w:pPr>
            <w:r>
              <w:rPr>
                <w:rFonts w:cs="Arial"/>
                <w:sz w:val="20"/>
                <w:szCs w:val="20"/>
              </w:rPr>
              <w:t>Jennifer Holmes</w:t>
            </w:r>
          </w:p>
          <w:p w14:paraId="7C368A8E" w14:textId="29DD8458" w:rsidR="008F3632" w:rsidRDefault="008F3632" w:rsidP="008F3632">
            <w:pPr>
              <w:spacing w:before="20" w:after="20"/>
              <w:rPr>
                <w:rFonts w:cs="Arial"/>
                <w:sz w:val="20"/>
                <w:szCs w:val="20"/>
              </w:rPr>
            </w:pPr>
            <w:r w:rsidRPr="0001609E">
              <w:rPr>
                <w:rFonts w:cs="Arial"/>
                <w:sz w:val="20"/>
                <w:szCs w:val="20"/>
              </w:rPr>
              <w:t>Cal TF Staff</w:t>
            </w:r>
          </w:p>
        </w:tc>
        <w:tc>
          <w:tcPr>
            <w:tcW w:w="2644" w:type="pct"/>
          </w:tcPr>
          <w:p w14:paraId="536E6DFC" w14:textId="0C440098" w:rsidR="008F3632" w:rsidRDefault="008F3632" w:rsidP="008F3632">
            <w:pPr>
              <w:spacing w:before="20" w:after="20"/>
              <w:rPr>
                <w:rFonts w:cs="Arial"/>
                <w:sz w:val="20"/>
                <w:szCs w:val="20"/>
              </w:rPr>
            </w:pPr>
            <w:r>
              <w:rPr>
                <w:rFonts w:cs="Arial"/>
                <w:sz w:val="20"/>
                <w:szCs w:val="20"/>
              </w:rPr>
              <w:t>Revisions for submittal of version 01.</w:t>
            </w:r>
          </w:p>
        </w:tc>
      </w:tr>
      <w:bookmarkEnd w:id="72"/>
      <w:bookmarkEnd w:id="76"/>
      <w:bookmarkEnd w:id="77"/>
    </w:tbl>
    <w:p w14:paraId="5C9CAB2A" w14:textId="77777777" w:rsidR="00085726" w:rsidRDefault="00085726" w:rsidP="00387072"/>
    <w:sectPr w:rsidR="00085726" w:rsidSect="005F505E">
      <w:headerReference w:type="default" r:id="rId15"/>
      <w:headerReference w:type="first" r:id="rId1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E5DA92" w14:textId="77777777" w:rsidR="008C0342" w:rsidRDefault="008C0342" w:rsidP="00A2690C">
      <w:r>
        <w:separator/>
      </w:r>
    </w:p>
    <w:p w14:paraId="45FED653" w14:textId="77777777" w:rsidR="008C0342" w:rsidRDefault="008C0342"/>
  </w:endnote>
  <w:endnote w:type="continuationSeparator" w:id="0">
    <w:p w14:paraId="77F32571" w14:textId="77777777" w:rsidR="008C0342" w:rsidRDefault="008C0342" w:rsidP="00A2690C">
      <w:r>
        <w:continuationSeparator/>
      </w:r>
    </w:p>
    <w:p w14:paraId="45F056F6" w14:textId="77777777" w:rsidR="008C0342" w:rsidRDefault="008C03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venir Next">
    <w:altName w:val="Calibri"/>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panose1 w:val="02020600040205080304"/>
    <w:charset w:val="80"/>
    <w:family w:val="roman"/>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58D06" w14:textId="77777777" w:rsidR="006B18EF" w:rsidRDefault="006B18EF"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6B18EF" w:rsidRPr="00B837C1" w:rsidRDefault="006B18EF"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F114B" w14:textId="77777777" w:rsidR="006B18EF" w:rsidRDefault="006B18EF"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6B18EF" w:rsidRPr="00B837C1" w:rsidRDefault="006B18EF"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177913">
      <w:rPr>
        <w:rStyle w:val="PageNumber"/>
        <w:noProof/>
        <w:sz w:val="14"/>
        <w:szCs w:val="14"/>
      </w:rPr>
      <w:t>12</w:t>
    </w:r>
    <w:r w:rsidRPr="00B837C1">
      <w:rPr>
        <w:rStyle w:val="PageNumber"/>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79099" w14:textId="77777777" w:rsidR="006B18EF" w:rsidRDefault="006B18EF"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6B18EF" w:rsidRPr="005F505E" w:rsidRDefault="006B18EF"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707C50">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CEF9BE" w14:textId="77777777" w:rsidR="008C0342" w:rsidRDefault="008C0342" w:rsidP="00A2690C">
      <w:r>
        <w:separator/>
      </w:r>
    </w:p>
    <w:p w14:paraId="1B4FC685" w14:textId="77777777" w:rsidR="008C0342" w:rsidRDefault="008C0342"/>
  </w:footnote>
  <w:footnote w:type="continuationSeparator" w:id="0">
    <w:p w14:paraId="5F68A8A8" w14:textId="77777777" w:rsidR="008C0342" w:rsidRDefault="008C0342" w:rsidP="00A2690C">
      <w:r>
        <w:continuationSeparator/>
      </w:r>
    </w:p>
    <w:p w14:paraId="4D1B23B3" w14:textId="77777777" w:rsidR="008C0342" w:rsidRDefault="008C0342"/>
  </w:footnote>
  <w:footnote w:id="1">
    <w:p w14:paraId="473D394D" w14:textId="77777777" w:rsidR="006B18EF" w:rsidRDefault="006B18EF" w:rsidP="007A3FB6">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p>
  </w:footnote>
  <w:footnote w:id="2">
    <w:p w14:paraId="374F2768" w14:textId="405EBAFD" w:rsidR="006B18EF" w:rsidRDefault="006B18EF">
      <w:pPr>
        <w:pStyle w:val="FootnoteText"/>
      </w:pPr>
      <w:r>
        <w:rPr>
          <w:rStyle w:val="FootnoteReference"/>
        </w:rPr>
        <w:footnoteRef/>
      </w:r>
      <w:r>
        <w:t xml:space="preserve"> California Public Utilities Commission (CPUC). 2016. </w:t>
      </w:r>
      <w:r>
        <w:rPr>
          <w:rStyle w:val="Emphasis"/>
        </w:rPr>
        <w:t>Decision 16-08-019 in the Order Instituting Rulemaking Concerning Energy Efficiency Rolling Portfolios, Policies, Programs, Evaluation, and Related Issues (R.13-11-005).</w:t>
      </w:r>
      <w:r>
        <w:t xml:space="preserve"> August 18.</w:t>
      </w:r>
    </w:p>
  </w:footnote>
  <w:footnote w:id="3">
    <w:p w14:paraId="43C7A3CC" w14:textId="4E34C825" w:rsidR="006B18EF" w:rsidRDefault="006B18EF">
      <w:pPr>
        <w:pStyle w:val="FootnoteText"/>
      </w:pPr>
      <w:r>
        <w:rPr>
          <w:rStyle w:val="FootnoteReference"/>
        </w:rPr>
        <w:footnoteRef/>
      </w:r>
      <w:r>
        <w:t xml:space="preserve"> California Public Utilities Commission (CPUC). 2017. </w:t>
      </w:r>
      <w:r>
        <w:rPr>
          <w:rStyle w:val="Emphasis"/>
        </w:rPr>
        <w:t>Resolution E-4818</w:t>
      </w:r>
      <w:r>
        <w:t>. March 2. </w:t>
      </w:r>
    </w:p>
  </w:footnote>
  <w:footnote w:id="4">
    <w:p w14:paraId="2C69F0B4" w14:textId="1C5683DA" w:rsidR="006B18EF" w:rsidRDefault="006B18EF">
      <w:pPr>
        <w:pStyle w:val="FootnoteText"/>
      </w:pPr>
      <w:r>
        <w:rPr>
          <w:rStyle w:val="FootnoteReference"/>
        </w:rPr>
        <w:footnoteRef/>
      </w:r>
      <w:r>
        <w:t xml:space="preserve"> California Energy Commission (CEC). September 2006. </w:t>
      </w:r>
      <w:r w:rsidRPr="00D30DEE">
        <w:rPr>
          <w:i/>
        </w:rPr>
        <w:t>20</w:t>
      </w:r>
      <w:r>
        <w:rPr>
          <w:i/>
        </w:rPr>
        <w:t xml:space="preserve">05 </w:t>
      </w:r>
      <w:r w:rsidRPr="00D30DEE">
        <w:rPr>
          <w:i/>
        </w:rPr>
        <w:t>Building Energy Efficiency Standards for Residential and Nonresidential Buildings.</w:t>
      </w:r>
      <w:r>
        <w:t xml:space="preserve"> </w:t>
      </w:r>
      <w:r w:rsidRPr="00FF13B9">
        <w:t>CEC-400-2006-015</w:t>
      </w:r>
      <w:r>
        <w:t>.</w:t>
      </w:r>
    </w:p>
  </w:footnote>
  <w:footnote w:id="5">
    <w:p w14:paraId="1044204B" w14:textId="77777777" w:rsidR="006B18EF" w:rsidRDefault="006B18EF" w:rsidP="00CF171A">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p>
  </w:footnote>
  <w:footnote w:id="6">
    <w:p w14:paraId="22475D77" w14:textId="63E18B97" w:rsidR="006B18EF" w:rsidRDefault="006B18EF" w:rsidP="00884E12">
      <w:pPr>
        <w:pStyle w:val="FootnoteText"/>
      </w:pPr>
      <w:r>
        <w:rPr>
          <w:rStyle w:val="FootnoteReference"/>
        </w:rPr>
        <w:footnoteRef/>
      </w:r>
      <w:r>
        <w:t xml:space="preserve"> Southern California Edison (SCE). 2019. “</w:t>
      </w:r>
      <w:r w:rsidRPr="00C56302">
        <w:t>SWHC008-01 BES Files</w:t>
      </w:r>
      <w:r>
        <w:t>.zip”</w:t>
      </w:r>
    </w:p>
  </w:footnote>
  <w:footnote w:id="7">
    <w:p w14:paraId="7D5CA5D9" w14:textId="736AB735" w:rsidR="006B18EF" w:rsidRDefault="006B18EF" w:rsidP="00C85139">
      <w:pPr>
        <w:pStyle w:val="FootnoteText"/>
      </w:pPr>
      <w:r>
        <w:rPr>
          <w:rStyle w:val="FootnoteReference"/>
        </w:rPr>
        <w:footnoteRef/>
      </w:r>
      <w:r>
        <w:t xml:space="preserve"> ASHRAE Journal, June 2012. Optimizing Design &amp; Control of Chilled Water Plants. Steven T. Taylor. </w:t>
      </w:r>
    </w:p>
  </w:footnote>
  <w:footnote w:id="8">
    <w:p w14:paraId="38D5A18E" w14:textId="1855C983" w:rsidR="006B18EF" w:rsidRDefault="006B18EF" w:rsidP="00FB572C">
      <w:pPr>
        <w:pStyle w:val="FootnoteText"/>
      </w:pPr>
      <w:r>
        <w:rPr>
          <w:rStyle w:val="FootnoteReference"/>
        </w:rPr>
        <w:footnoteRef/>
      </w:r>
      <w:r>
        <w:t xml:space="preserve"> Gordian. 2018. </w:t>
      </w:r>
      <w:r w:rsidRPr="0038465D">
        <w:rPr>
          <w:i/>
          <w:iCs/>
        </w:rPr>
        <w:t>Electrical Costs with RSMeans data. 2018.</w:t>
      </w:r>
      <w:r>
        <w:t xml:space="preserve"> </w:t>
      </w:r>
      <w:r>
        <w:rPr>
          <w:szCs w:val="18"/>
        </w:rPr>
        <w:t>41</w:t>
      </w:r>
      <w:r w:rsidRPr="0038465D">
        <w:rPr>
          <w:szCs w:val="18"/>
          <w:vertAlign w:val="superscript"/>
        </w:rPr>
        <w:t>st</w:t>
      </w:r>
      <w:r>
        <w:rPr>
          <w:szCs w:val="18"/>
        </w:rPr>
        <w:t xml:space="preserve"> Annual Edition.</w:t>
      </w:r>
    </w:p>
  </w:footnote>
  <w:footnote w:id="9">
    <w:p w14:paraId="02BD710F" w14:textId="61D8AD24" w:rsidR="006B18EF" w:rsidRDefault="006B18EF" w:rsidP="00884E12">
      <w:pPr>
        <w:pStyle w:val="FootnoteText"/>
      </w:pPr>
      <w:r>
        <w:rPr>
          <w:rStyle w:val="FootnoteReference"/>
        </w:rPr>
        <w:footnoteRef/>
      </w:r>
      <w:r>
        <w:t xml:space="preserve"> Southern California Edison (SCE). 2019. “</w:t>
      </w:r>
      <w:r w:rsidRPr="00145DA7">
        <w:t>SWHC008-01 Energy Impact Calcs</w:t>
      </w:r>
      <w:r>
        <w:t>.xlsx.”</w:t>
      </w:r>
    </w:p>
  </w:footnote>
  <w:footnote w:id="10">
    <w:p w14:paraId="3A9FCF48" w14:textId="2A9C2ACE" w:rsidR="006B18EF" w:rsidRDefault="006B18EF" w:rsidP="00C626A9">
      <w:pPr>
        <w:pStyle w:val="FootnoteText"/>
      </w:pPr>
      <w:r>
        <w:rPr>
          <w:rStyle w:val="FootnoteReference"/>
        </w:rPr>
        <w:footnoteRef/>
      </w:r>
      <w:r>
        <w:t xml:space="preserve"> </w:t>
      </w:r>
      <w:r w:rsidRPr="00D73546">
        <w:t>California Public Utilities Commission (CPUC), Energy Division. (n.d.) “DEER2020-Building-Weights.xlsx.”</w:t>
      </w:r>
      <w:r>
        <w:t xml:space="preserve"> </w:t>
      </w:r>
    </w:p>
  </w:footnote>
  <w:footnote w:id="11">
    <w:p w14:paraId="3B016710" w14:textId="77777777" w:rsidR="006B18EF" w:rsidRDefault="006B18EF" w:rsidP="00842D80">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12">
    <w:p w14:paraId="3FDBAA6D" w14:textId="77777777" w:rsidR="006B18EF" w:rsidRDefault="006B18EF" w:rsidP="00842D80">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13">
    <w:p w14:paraId="6925FABA" w14:textId="77777777" w:rsidR="006B18EF" w:rsidRDefault="006B18EF" w:rsidP="00842D80">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C7412C">
        <w:rPr>
          <w:i/>
        </w:rPr>
        <w:t xml:space="preserve">Resolution E-4807. </w:t>
      </w:r>
      <w:r w:rsidRPr="00EF5144">
        <w:t xml:space="preserve">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14">
    <w:p w14:paraId="239B2A63" w14:textId="24C42433" w:rsidR="006B18EF" w:rsidRDefault="006B18EF">
      <w:pPr>
        <w:pStyle w:val="FootnoteText"/>
      </w:pPr>
      <w:r>
        <w:rPr>
          <w:rStyle w:val="FootnoteReference"/>
        </w:rPr>
        <w:footnoteRef/>
      </w:r>
      <w:r>
        <w:t xml:space="preserve"> </w:t>
      </w:r>
      <w:r w:rsidRPr="008134FE">
        <w:t xml:space="preserve">Gordian. 2018. RSMeans Online - Electrical Cost Data. </w:t>
      </w:r>
    </w:p>
  </w:footnote>
  <w:footnote w:id="15">
    <w:p w14:paraId="20F11124" w14:textId="727F4564" w:rsidR="006B18EF" w:rsidRDefault="006B18EF">
      <w:pPr>
        <w:pStyle w:val="FootnoteText"/>
      </w:pPr>
      <w:r>
        <w:rPr>
          <w:rStyle w:val="FootnoteReference"/>
        </w:rPr>
        <w:footnoteRef/>
      </w:r>
      <w:r>
        <w:t xml:space="preserve"> Southern California Edison (SCE). 2019. “</w:t>
      </w:r>
      <w:r w:rsidRPr="00BB38D4">
        <w:t>SWHC008-01 MeasureCost</w:t>
      </w:r>
      <w:r w:rsidRPr="00911487">
        <w:t>.xlsx</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14C8F" w14:textId="159C53FF" w:rsidR="006B18EF" w:rsidRPr="000220A0" w:rsidRDefault="006B18EF"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F1ACE" w14:textId="21B9C1F3" w:rsidR="006B18EF" w:rsidRDefault="006B18EF">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0BBA2503" w14:textId="77777777" w:rsidR="006B18EF" w:rsidRDefault="006B18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AB8AA" w14:textId="77777777" w:rsidR="006B18EF" w:rsidRDefault="006B18EF" w:rsidP="00BD221D">
    <w:pPr>
      <w:jc w:val="center"/>
    </w:pPr>
  </w:p>
  <w:p w14:paraId="342310D5" w14:textId="5BACBCD8" w:rsidR="006B18EF" w:rsidRDefault="006B18EF"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9012C" w14:textId="3E085F95" w:rsidR="006B18EF" w:rsidRDefault="006B18EF" w:rsidP="00986C3B">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sidR="00A5765D">
      <w:rPr>
        <w:rFonts w:ascii="Calibri Light" w:hAnsi="Calibri Light"/>
        <w:b/>
      </w:rPr>
      <w:t xml:space="preserve">VSD </w:t>
    </w:r>
    <w:r>
      <w:rPr>
        <w:rFonts w:ascii="Calibri Light" w:hAnsi="Calibri Light"/>
        <w:b/>
      </w:rPr>
      <w:t>for a Central Plant System</w:t>
    </w:r>
  </w:p>
  <w:p w14:paraId="2AC97B25" w14:textId="77777777" w:rsidR="006B18EF" w:rsidRDefault="006B18E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3757E" w14:textId="68B81AAC" w:rsidR="006B18EF" w:rsidRDefault="006B18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B7672"/>
    <w:multiLevelType w:val="hybridMultilevel"/>
    <w:tmpl w:val="3CC6FE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E2A30"/>
    <w:multiLevelType w:val="hybridMultilevel"/>
    <w:tmpl w:val="9E0EE9E4"/>
    <w:lvl w:ilvl="0" w:tplc="67C8F782">
      <w:start w:val="1"/>
      <w:numFmt w:val="bulle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1D125B"/>
    <w:multiLevelType w:val="hybridMultilevel"/>
    <w:tmpl w:val="BF40B268"/>
    <w:lvl w:ilvl="0" w:tplc="CA9E9B30">
      <w:start w:val="1"/>
      <w:numFmt w:val="bullet"/>
      <w:lvlText w:val=""/>
      <w:lvlJc w:val="left"/>
      <w:pPr>
        <w:ind w:left="1440" w:hanging="360"/>
      </w:pPr>
      <w:rPr>
        <w:rFonts w:ascii="Symbol" w:hAnsi="Symbol" w:hint="default"/>
        <w:color w:val="6B6B6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124A49"/>
    <w:multiLevelType w:val="hybridMultilevel"/>
    <w:tmpl w:val="1EECA7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007465"/>
    <w:multiLevelType w:val="hybridMultilevel"/>
    <w:tmpl w:val="369C56B2"/>
    <w:lvl w:ilvl="0" w:tplc="CA9E9B30">
      <w:start w:val="1"/>
      <w:numFmt w:val="bullet"/>
      <w:lvlText w:val=""/>
      <w:lvlJc w:val="left"/>
      <w:pPr>
        <w:ind w:left="720" w:hanging="360"/>
      </w:pPr>
      <w:rPr>
        <w:rFonts w:ascii="Symbol" w:hAnsi="Symbol" w:hint="default"/>
        <w:color w:val="6B6B6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273EB1"/>
    <w:multiLevelType w:val="hybridMultilevel"/>
    <w:tmpl w:val="90F450E4"/>
    <w:lvl w:ilvl="0" w:tplc="CA9E9B30">
      <w:start w:val="1"/>
      <w:numFmt w:val="bullet"/>
      <w:lvlText w:val=""/>
      <w:lvlJc w:val="left"/>
      <w:pPr>
        <w:ind w:left="1440" w:hanging="360"/>
      </w:pPr>
      <w:rPr>
        <w:rFonts w:ascii="Symbol" w:hAnsi="Symbol" w:hint="default"/>
        <w:color w:val="6B6B6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28E1421"/>
    <w:multiLevelType w:val="hybridMultilevel"/>
    <w:tmpl w:val="2C1A3C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B304BE"/>
    <w:multiLevelType w:val="hybridMultilevel"/>
    <w:tmpl w:val="265E4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2B25E0"/>
    <w:multiLevelType w:val="hybridMultilevel"/>
    <w:tmpl w:val="CC0CA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7B1114"/>
    <w:multiLevelType w:val="hybridMultilevel"/>
    <w:tmpl w:val="9AB204F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394E3D"/>
    <w:multiLevelType w:val="hybridMultilevel"/>
    <w:tmpl w:val="179AE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5E543F"/>
    <w:multiLevelType w:val="hybridMultilevel"/>
    <w:tmpl w:val="D64A90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64C455E"/>
    <w:multiLevelType w:val="hybridMultilevel"/>
    <w:tmpl w:val="9162FA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3" w15:restartNumberingAfterBreak="0">
    <w:nsid w:val="3B753A45"/>
    <w:multiLevelType w:val="hybridMultilevel"/>
    <w:tmpl w:val="56381E92"/>
    <w:lvl w:ilvl="0" w:tplc="CA9E9B30">
      <w:start w:val="1"/>
      <w:numFmt w:val="bullet"/>
      <w:lvlText w:val=""/>
      <w:lvlJc w:val="left"/>
      <w:pPr>
        <w:ind w:left="1440" w:hanging="360"/>
      </w:pPr>
      <w:rPr>
        <w:rFonts w:ascii="Symbol" w:hAnsi="Symbol" w:hint="default"/>
        <w:color w:val="6B6B6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7C92E4F"/>
    <w:multiLevelType w:val="hybridMultilevel"/>
    <w:tmpl w:val="99C47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9E47D79"/>
    <w:multiLevelType w:val="hybridMultilevel"/>
    <w:tmpl w:val="9F8088E8"/>
    <w:lvl w:ilvl="0" w:tplc="CA9E9B30">
      <w:start w:val="1"/>
      <w:numFmt w:val="bullet"/>
      <w:lvlText w:val=""/>
      <w:lvlJc w:val="left"/>
      <w:pPr>
        <w:ind w:left="720" w:hanging="360"/>
      </w:pPr>
      <w:rPr>
        <w:rFonts w:ascii="Symbol" w:hAnsi="Symbol" w:hint="default"/>
        <w:color w:val="6B6B6B"/>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025B44"/>
    <w:multiLevelType w:val="hybridMultilevel"/>
    <w:tmpl w:val="FAAAE4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AF4F21"/>
    <w:multiLevelType w:val="hybridMultilevel"/>
    <w:tmpl w:val="E8E8D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23364B"/>
    <w:multiLevelType w:val="hybridMultilevel"/>
    <w:tmpl w:val="2D0EE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3"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3A61D0"/>
    <w:multiLevelType w:val="hybridMultilevel"/>
    <w:tmpl w:val="BB2611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7AF79C0"/>
    <w:multiLevelType w:val="hybridMultilevel"/>
    <w:tmpl w:val="1A987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0D4281"/>
    <w:multiLevelType w:val="hybridMultilevel"/>
    <w:tmpl w:val="E258E3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7C6993"/>
    <w:multiLevelType w:val="hybridMultilevel"/>
    <w:tmpl w:val="0C2E97AC"/>
    <w:lvl w:ilvl="0" w:tplc="374E1EAE">
      <w:start w:val="1"/>
      <w:numFmt w:val="bullet"/>
      <w:pStyle w:val="eTRMBulletedText"/>
      <w:lvlText w:val=""/>
      <w:lvlJc w:val="left"/>
      <w:pPr>
        <w:ind w:left="720" w:hanging="360"/>
      </w:pPr>
      <w:rPr>
        <w:rFonts w:ascii="Symbol" w:hAnsi="Symbol" w:hint="default"/>
        <w:color w:val="6B6B6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966C22"/>
    <w:multiLevelType w:val="hybridMultilevel"/>
    <w:tmpl w:val="265E4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1"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3" w15:restartNumberingAfterBreak="0">
    <w:nsid w:val="7AD62C98"/>
    <w:multiLevelType w:val="hybridMultilevel"/>
    <w:tmpl w:val="639CAD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775436"/>
    <w:multiLevelType w:val="hybridMultilevel"/>
    <w:tmpl w:val="8E889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2"/>
  </w:num>
  <w:num w:numId="2">
    <w:abstractNumId w:val="40"/>
  </w:num>
  <w:num w:numId="3">
    <w:abstractNumId w:val="42"/>
  </w:num>
  <w:num w:numId="4">
    <w:abstractNumId w:val="42"/>
  </w:num>
  <w:num w:numId="5">
    <w:abstractNumId w:val="32"/>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15"/>
  </w:num>
  <w:num w:numId="8">
    <w:abstractNumId w:val="38"/>
  </w:num>
  <w:num w:numId="9">
    <w:abstractNumId w:val="0"/>
  </w:num>
  <w:num w:numId="10">
    <w:abstractNumId w:val="41"/>
  </w:num>
  <w:num w:numId="11">
    <w:abstractNumId w:val="17"/>
  </w:num>
  <w:num w:numId="12">
    <w:abstractNumId w:val="10"/>
  </w:num>
  <w:num w:numId="13">
    <w:abstractNumId w:val="33"/>
  </w:num>
  <w:num w:numId="14">
    <w:abstractNumId w:val="28"/>
  </w:num>
  <w:num w:numId="15">
    <w:abstractNumId w:val="13"/>
  </w:num>
  <w:num w:numId="16">
    <w:abstractNumId w:val="30"/>
  </w:num>
  <w:num w:numId="17">
    <w:abstractNumId w:val="39"/>
  </w:num>
  <w:num w:numId="18">
    <w:abstractNumId w:val="9"/>
  </w:num>
  <w:num w:numId="19">
    <w:abstractNumId w:val="44"/>
  </w:num>
  <w:num w:numId="20">
    <w:abstractNumId w:val="14"/>
  </w:num>
  <w:num w:numId="21">
    <w:abstractNumId w:val="25"/>
  </w:num>
  <w:num w:numId="22">
    <w:abstractNumId w:val="18"/>
  </w:num>
  <w:num w:numId="23">
    <w:abstractNumId w:val="27"/>
    <w:lvlOverride w:ilvl="0"/>
    <w:lvlOverride w:ilvl="1">
      <w:startOverride w:val="1"/>
    </w:lvlOverride>
    <w:lvlOverride w:ilvl="2"/>
    <w:lvlOverride w:ilvl="3"/>
    <w:lvlOverride w:ilvl="4"/>
    <w:lvlOverride w:ilvl="5"/>
    <w:lvlOverride w:ilvl="6"/>
    <w:lvlOverride w:ilvl="7"/>
    <w:lvlOverride w:ilvl="8"/>
  </w:num>
  <w:num w:numId="24">
    <w:abstractNumId w:val="19"/>
  </w:num>
  <w:num w:numId="25">
    <w:abstractNumId w:val="7"/>
  </w:num>
  <w:num w:numId="26">
    <w:abstractNumId w:val="3"/>
  </w:num>
  <w:num w:numId="27">
    <w:abstractNumId w:val="23"/>
  </w:num>
  <w:num w:numId="28">
    <w:abstractNumId w:val="26"/>
  </w:num>
  <w:num w:numId="29">
    <w:abstractNumId w:val="4"/>
  </w:num>
  <w:num w:numId="30">
    <w:abstractNumId w:val="34"/>
  </w:num>
  <w:num w:numId="31">
    <w:abstractNumId w:val="8"/>
  </w:num>
  <w:num w:numId="32">
    <w:abstractNumId w:val="11"/>
  </w:num>
  <w:num w:numId="33">
    <w:abstractNumId w:val="12"/>
  </w:num>
  <w:num w:numId="34">
    <w:abstractNumId w:val="31"/>
  </w:num>
  <w:num w:numId="35">
    <w:abstractNumId w:val="29"/>
  </w:num>
  <w:num w:numId="36">
    <w:abstractNumId w:val="35"/>
  </w:num>
  <w:num w:numId="37">
    <w:abstractNumId w:val="6"/>
  </w:num>
  <w:num w:numId="38">
    <w:abstractNumId w:val="37"/>
  </w:num>
  <w:num w:numId="39">
    <w:abstractNumId w:val="2"/>
  </w:num>
  <w:num w:numId="40">
    <w:abstractNumId w:val="21"/>
  </w:num>
  <w:num w:numId="41">
    <w:abstractNumId w:val="43"/>
  </w:num>
  <w:num w:numId="42">
    <w:abstractNumId w:val="36"/>
  </w:num>
  <w:num w:numId="43">
    <w:abstractNumId w:val="16"/>
  </w:num>
  <w:num w:numId="4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A08"/>
    <w:rsid w:val="00005B06"/>
    <w:rsid w:val="000063B0"/>
    <w:rsid w:val="000110D9"/>
    <w:rsid w:val="000111AF"/>
    <w:rsid w:val="0001609E"/>
    <w:rsid w:val="00016928"/>
    <w:rsid w:val="000220A0"/>
    <w:rsid w:val="000229F1"/>
    <w:rsid w:val="0002389A"/>
    <w:rsid w:val="00026D58"/>
    <w:rsid w:val="000302DF"/>
    <w:rsid w:val="00031184"/>
    <w:rsid w:val="00035A62"/>
    <w:rsid w:val="00036C3F"/>
    <w:rsid w:val="00037A06"/>
    <w:rsid w:val="00043809"/>
    <w:rsid w:val="00046BB0"/>
    <w:rsid w:val="00051DBB"/>
    <w:rsid w:val="00052143"/>
    <w:rsid w:val="00052C95"/>
    <w:rsid w:val="000530E4"/>
    <w:rsid w:val="0005587A"/>
    <w:rsid w:val="00061D34"/>
    <w:rsid w:val="000621A8"/>
    <w:rsid w:val="00063B47"/>
    <w:rsid w:val="00065E54"/>
    <w:rsid w:val="000672E5"/>
    <w:rsid w:val="00070520"/>
    <w:rsid w:val="000732AE"/>
    <w:rsid w:val="00073763"/>
    <w:rsid w:val="00073816"/>
    <w:rsid w:val="00074E3E"/>
    <w:rsid w:val="000767E9"/>
    <w:rsid w:val="0007796B"/>
    <w:rsid w:val="00077A63"/>
    <w:rsid w:val="00077C3A"/>
    <w:rsid w:val="0008108C"/>
    <w:rsid w:val="000841AA"/>
    <w:rsid w:val="00085726"/>
    <w:rsid w:val="00087FD4"/>
    <w:rsid w:val="00090BBF"/>
    <w:rsid w:val="000910B7"/>
    <w:rsid w:val="00091581"/>
    <w:rsid w:val="00094517"/>
    <w:rsid w:val="00096485"/>
    <w:rsid w:val="00096C5B"/>
    <w:rsid w:val="000978C8"/>
    <w:rsid w:val="000A270E"/>
    <w:rsid w:val="000A33B5"/>
    <w:rsid w:val="000A4D3A"/>
    <w:rsid w:val="000A62EF"/>
    <w:rsid w:val="000A66B7"/>
    <w:rsid w:val="000A7058"/>
    <w:rsid w:val="000A75A1"/>
    <w:rsid w:val="000B139B"/>
    <w:rsid w:val="000B32D5"/>
    <w:rsid w:val="000B5345"/>
    <w:rsid w:val="000B6004"/>
    <w:rsid w:val="000C36B4"/>
    <w:rsid w:val="000C4844"/>
    <w:rsid w:val="000C60E3"/>
    <w:rsid w:val="000C72C1"/>
    <w:rsid w:val="000C7B77"/>
    <w:rsid w:val="000E044A"/>
    <w:rsid w:val="000E7E92"/>
    <w:rsid w:val="000F1833"/>
    <w:rsid w:val="000F1D9D"/>
    <w:rsid w:val="000F4CA7"/>
    <w:rsid w:val="000F5FC7"/>
    <w:rsid w:val="00103399"/>
    <w:rsid w:val="0010471F"/>
    <w:rsid w:val="00104933"/>
    <w:rsid w:val="0010657B"/>
    <w:rsid w:val="00111A53"/>
    <w:rsid w:val="0011498C"/>
    <w:rsid w:val="00114D28"/>
    <w:rsid w:val="0011543F"/>
    <w:rsid w:val="00120592"/>
    <w:rsid w:val="001217DF"/>
    <w:rsid w:val="0012187D"/>
    <w:rsid w:val="00124BFE"/>
    <w:rsid w:val="00126809"/>
    <w:rsid w:val="00126B25"/>
    <w:rsid w:val="00131C5A"/>
    <w:rsid w:val="00142D3C"/>
    <w:rsid w:val="001451AB"/>
    <w:rsid w:val="00145D89"/>
    <w:rsid w:val="00145DA7"/>
    <w:rsid w:val="001474D9"/>
    <w:rsid w:val="001501B3"/>
    <w:rsid w:val="00151B9F"/>
    <w:rsid w:val="0015367D"/>
    <w:rsid w:val="00153BB7"/>
    <w:rsid w:val="00154391"/>
    <w:rsid w:val="00154DC1"/>
    <w:rsid w:val="001564FC"/>
    <w:rsid w:val="00157985"/>
    <w:rsid w:val="00161DF1"/>
    <w:rsid w:val="00162A6F"/>
    <w:rsid w:val="0016415E"/>
    <w:rsid w:val="001648F6"/>
    <w:rsid w:val="00166375"/>
    <w:rsid w:val="0016690D"/>
    <w:rsid w:val="00171951"/>
    <w:rsid w:val="00171BB8"/>
    <w:rsid w:val="00173CED"/>
    <w:rsid w:val="00174707"/>
    <w:rsid w:val="00176929"/>
    <w:rsid w:val="00177913"/>
    <w:rsid w:val="00177EB6"/>
    <w:rsid w:val="00180DAD"/>
    <w:rsid w:val="00180DE1"/>
    <w:rsid w:val="00181672"/>
    <w:rsid w:val="00181E01"/>
    <w:rsid w:val="001854BB"/>
    <w:rsid w:val="00192E73"/>
    <w:rsid w:val="001944A0"/>
    <w:rsid w:val="001944B4"/>
    <w:rsid w:val="00195B03"/>
    <w:rsid w:val="00196649"/>
    <w:rsid w:val="001A11C7"/>
    <w:rsid w:val="001A4BE1"/>
    <w:rsid w:val="001A7A21"/>
    <w:rsid w:val="001B0D29"/>
    <w:rsid w:val="001B113B"/>
    <w:rsid w:val="001B1D23"/>
    <w:rsid w:val="001B426F"/>
    <w:rsid w:val="001B45D9"/>
    <w:rsid w:val="001C2ACE"/>
    <w:rsid w:val="001C4890"/>
    <w:rsid w:val="001C6C9B"/>
    <w:rsid w:val="001C7134"/>
    <w:rsid w:val="001D0CA2"/>
    <w:rsid w:val="001D44FB"/>
    <w:rsid w:val="001D5907"/>
    <w:rsid w:val="001D656F"/>
    <w:rsid w:val="001D65A6"/>
    <w:rsid w:val="001D7A57"/>
    <w:rsid w:val="001E0138"/>
    <w:rsid w:val="001E19A3"/>
    <w:rsid w:val="001E1E69"/>
    <w:rsid w:val="001E4C3F"/>
    <w:rsid w:val="001E6273"/>
    <w:rsid w:val="001F00E9"/>
    <w:rsid w:val="001F2C2A"/>
    <w:rsid w:val="001F636D"/>
    <w:rsid w:val="001F735E"/>
    <w:rsid w:val="002005A8"/>
    <w:rsid w:val="002006B6"/>
    <w:rsid w:val="00205BAF"/>
    <w:rsid w:val="00207F85"/>
    <w:rsid w:val="0021226A"/>
    <w:rsid w:val="0021230E"/>
    <w:rsid w:val="00212E00"/>
    <w:rsid w:val="00215BFD"/>
    <w:rsid w:val="00216737"/>
    <w:rsid w:val="0021746B"/>
    <w:rsid w:val="00224A16"/>
    <w:rsid w:val="00225142"/>
    <w:rsid w:val="0022657C"/>
    <w:rsid w:val="00226694"/>
    <w:rsid w:val="00227BDD"/>
    <w:rsid w:val="002318A4"/>
    <w:rsid w:val="002335FF"/>
    <w:rsid w:val="00233D87"/>
    <w:rsid w:val="0023584E"/>
    <w:rsid w:val="0023666C"/>
    <w:rsid w:val="00236692"/>
    <w:rsid w:val="00236E0A"/>
    <w:rsid w:val="00237964"/>
    <w:rsid w:val="0024072F"/>
    <w:rsid w:val="002434DE"/>
    <w:rsid w:val="0024462C"/>
    <w:rsid w:val="00245AFF"/>
    <w:rsid w:val="0024628D"/>
    <w:rsid w:val="0024690E"/>
    <w:rsid w:val="00251ABC"/>
    <w:rsid w:val="002524CF"/>
    <w:rsid w:val="00253917"/>
    <w:rsid w:val="0025575C"/>
    <w:rsid w:val="00256400"/>
    <w:rsid w:val="00256B0C"/>
    <w:rsid w:val="00257D08"/>
    <w:rsid w:val="002652D2"/>
    <w:rsid w:val="00271B18"/>
    <w:rsid w:val="00273571"/>
    <w:rsid w:val="00276692"/>
    <w:rsid w:val="00276F9B"/>
    <w:rsid w:val="002942B0"/>
    <w:rsid w:val="0029555D"/>
    <w:rsid w:val="0029781E"/>
    <w:rsid w:val="00297E74"/>
    <w:rsid w:val="002A1953"/>
    <w:rsid w:val="002A2471"/>
    <w:rsid w:val="002A2A94"/>
    <w:rsid w:val="002A2EA5"/>
    <w:rsid w:val="002A424D"/>
    <w:rsid w:val="002A54CE"/>
    <w:rsid w:val="002B107C"/>
    <w:rsid w:val="002B2C97"/>
    <w:rsid w:val="002B3BF4"/>
    <w:rsid w:val="002B6DED"/>
    <w:rsid w:val="002B6F2A"/>
    <w:rsid w:val="002B7942"/>
    <w:rsid w:val="002C06FC"/>
    <w:rsid w:val="002C1117"/>
    <w:rsid w:val="002C38D4"/>
    <w:rsid w:val="002C67DF"/>
    <w:rsid w:val="002C6BAF"/>
    <w:rsid w:val="002C6F62"/>
    <w:rsid w:val="002C76C3"/>
    <w:rsid w:val="002C7D39"/>
    <w:rsid w:val="002D0036"/>
    <w:rsid w:val="002D17CE"/>
    <w:rsid w:val="002D29F8"/>
    <w:rsid w:val="002D40EE"/>
    <w:rsid w:val="002D4993"/>
    <w:rsid w:val="002D4E55"/>
    <w:rsid w:val="002D50E9"/>
    <w:rsid w:val="002D5CFA"/>
    <w:rsid w:val="002E5874"/>
    <w:rsid w:val="002F036B"/>
    <w:rsid w:val="002F14F0"/>
    <w:rsid w:val="002F41A0"/>
    <w:rsid w:val="002F78E9"/>
    <w:rsid w:val="00302A82"/>
    <w:rsid w:val="00302B26"/>
    <w:rsid w:val="00302CD4"/>
    <w:rsid w:val="00304892"/>
    <w:rsid w:val="003077CB"/>
    <w:rsid w:val="003103FB"/>
    <w:rsid w:val="00310A59"/>
    <w:rsid w:val="00313C99"/>
    <w:rsid w:val="00313E1D"/>
    <w:rsid w:val="003247FA"/>
    <w:rsid w:val="003309DA"/>
    <w:rsid w:val="00333809"/>
    <w:rsid w:val="00336313"/>
    <w:rsid w:val="00337D1D"/>
    <w:rsid w:val="0035060F"/>
    <w:rsid w:val="00352864"/>
    <w:rsid w:val="00357718"/>
    <w:rsid w:val="00362F9E"/>
    <w:rsid w:val="00363BE8"/>
    <w:rsid w:val="00363C0D"/>
    <w:rsid w:val="00370B5D"/>
    <w:rsid w:val="00372F61"/>
    <w:rsid w:val="00373BBE"/>
    <w:rsid w:val="00375F1C"/>
    <w:rsid w:val="00377DB5"/>
    <w:rsid w:val="0038465D"/>
    <w:rsid w:val="00384941"/>
    <w:rsid w:val="00385069"/>
    <w:rsid w:val="00387072"/>
    <w:rsid w:val="00392097"/>
    <w:rsid w:val="00392684"/>
    <w:rsid w:val="00393E52"/>
    <w:rsid w:val="00395E7C"/>
    <w:rsid w:val="003A7DE6"/>
    <w:rsid w:val="003B4DB9"/>
    <w:rsid w:val="003B5182"/>
    <w:rsid w:val="003B7610"/>
    <w:rsid w:val="003C2CC3"/>
    <w:rsid w:val="003C541A"/>
    <w:rsid w:val="003C7721"/>
    <w:rsid w:val="003D050D"/>
    <w:rsid w:val="003D1FB8"/>
    <w:rsid w:val="003D2FE2"/>
    <w:rsid w:val="003D6DFC"/>
    <w:rsid w:val="003D70D3"/>
    <w:rsid w:val="003D7104"/>
    <w:rsid w:val="003E2013"/>
    <w:rsid w:val="003E4089"/>
    <w:rsid w:val="003E50CF"/>
    <w:rsid w:val="003E5605"/>
    <w:rsid w:val="003E5AAD"/>
    <w:rsid w:val="003E7BC6"/>
    <w:rsid w:val="003F21D2"/>
    <w:rsid w:val="003F269E"/>
    <w:rsid w:val="003F4964"/>
    <w:rsid w:val="003F65F3"/>
    <w:rsid w:val="003F6C3A"/>
    <w:rsid w:val="00401C43"/>
    <w:rsid w:val="004046FF"/>
    <w:rsid w:val="00410790"/>
    <w:rsid w:val="00411EF4"/>
    <w:rsid w:val="004133BB"/>
    <w:rsid w:val="004142EF"/>
    <w:rsid w:val="00420958"/>
    <w:rsid w:val="00420EF1"/>
    <w:rsid w:val="00421920"/>
    <w:rsid w:val="004226FC"/>
    <w:rsid w:val="00423D33"/>
    <w:rsid w:val="004249A0"/>
    <w:rsid w:val="0043155E"/>
    <w:rsid w:val="00431636"/>
    <w:rsid w:val="00432D49"/>
    <w:rsid w:val="00433086"/>
    <w:rsid w:val="004339EA"/>
    <w:rsid w:val="00433A68"/>
    <w:rsid w:val="00433E8F"/>
    <w:rsid w:val="00434145"/>
    <w:rsid w:val="00434F7A"/>
    <w:rsid w:val="00443244"/>
    <w:rsid w:val="0044543F"/>
    <w:rsid w:val="0044577B"/>
    <w:rsid w:val="00451588"/>
    <w:rsid w:val="004517F1"/>
    <w:rsid w:val="00451FF6"/>
    <w:rsid w:val="00455327"/>
    <w:rsid w:val="004556DF"/>
    <w:rsid w:val="00460533"/>
    <w:rsid w:val="00461AE3"/>
    <w:rsid w:val="00462BB6"/>
    <w:rsid w:val="00464A63"/>
    <w:rsid w:val="00464A8E"/>
    <w:rsid w:val="00464DDC"/>
    <w:rsid w:val="00466DD6"/>
    <w:rsid w:val="00470670"/>
    <w:rsid w:val="00472286"/>
    <w:rsid w:val="00475A47"/>
    <w:rsid w:val="00475D57"/>
    <w:rsid w:val="0047771D"/>
    <w:rsid w:val="0048039C"/>
    <w:rsid w:val="00483F90"/>
    <w:rsid w:val="00484536"/>
    <w:rsid w:val="00486585"/>
    <w:rsid w:val="00492985"/>
    <w:rsid w:val="00492C3A"/>
    <w:rsid w:val="0049615E"/>
    <w:rsid w:val="00497289"/>
    <w:rsid w:val="004A06AE"/>
    <w:rsid w:val="004A22D3"/>
    <w:rsid w:val="004A510D"/>
    <w:rsid w:val="004B06E3"/>
    <w:rsid w:val="004B35DC"/>
    <w:rsid w:val="004B3DDF"/>
    <w:rsid w:val="004B5888"/>
    <w:rsid w:val="004B6780"/>
    <w:rsid w:val="004B7CAA"/>
    <w:rsid w:val="004C2A36"/>
    <w:rsid w:val="004C3663"/>
    <w:rsid w:val="004C57EC"/>
    <w:rsid w:val="004C69F2"/>
    <w:rsid w:val="004C7C7C"/>
    <w:rsid w:val="004D0C20"/>
    <w:rsid w:val="004D1461"/>
    <w:rsid w:val="004D19C8"/>
    <w:rsid w:val="004D3A71"/>
    <w:rsid w:val="004D3CE4"/>
    <w:rsid w:val="004D4E3F"/>
    <w:rsid w:val="004D7E51"/>
    <w:rsid w:val="004E04EE"/>
    <w:rsid w:val="004E1B37"/>
    <w:rsid w:val="004E2704"/>
    <w:rsid w:val="004E3F72"/>
    <w:rsid w:val="004E4D01"/>
    <w:rsid w:val="004F5C24"/>
    <w:rsid w:val="004F705B"/>
    <w:rsid w:val="00500535"/>
    <w:rsid w:val="00500964"/>
    <w:rsid w:val="00500C66"/>
    <w:rsid w:val="00503D14"/>
    <w:rsid w:val="00505B94"/>
    <w:rsid w:val="00505F45"/>
    <w:rsid w:val="005104E8"/>
    <w:rsid w:val="005130EC"/>
    <w:rsid w:val="005146E6"/>
    <w:rsid w:val="0051483C"/>
    <w:rsid w:val="00514D05"/>
    <w:rsid w:val="0053222D"/>
    <w:rsid w:val="005331FC"/>
    <w:rsid w:val="005354F7"/>
    <w:rsid w:val="00535A42"/>
    <w:rsid w:val="0053748E"/>
    <w:rsid w:val="005449C6"/>
    <w:rsid w:val="00545146"/>
    <w:rsid w:val="00551F51"/>
    <w:rsid w:val="00552143"/>
    <w:rsid w:val="00552606"/>
    <w:rsid w:val="0056177B"/>
    <w:rsid w:val="00566B42"/>
    <w:rsid w:val="005714E0"/>
    <w:rsid w:val="0057165C"/>
    <w:rsid w:val="00571D95"/>
    <w:rsid w:val="005722C6"/>
    <w:rsid w:val="00576EE5"/>
    <w:rsid w:val="00580FF8"/>
    <w:rsid w:val="00585C8D"/>
    <w:rsid w:val="005862CC"/>
    <w:rsid w:val="005903CF"/>
    <w:rsid w:val="005911FE"/>
    <w:rsid w:val="0059312F"/>
    <w:rsid w:val="00593220"/>
    <w:rsid w:val="0059380C"/>
    <w:rsid w:val="00595758"/>
    <w:rsid w:val="00596081"/>
    <w:rsid w:val="005A3943"/>
    <w:rsid w:val="005A51E6"/>
    <w:rsid w:val="005A632E"/>
    <w:rsid w:val="005A74DC"/>
    <w:rsid w:val="005A7F7B"/>
    <w:rsid w:val="005B3385"/>
    <w:rsid w:val="005B37C9"/>
    <w:rsid w:val="005B617E"/>
    <w:rsid w:val="005B7418"/>
    <w:rsid w:val="005C03A9"/>
    <w:rsid w:val="005C0496"/>
    <w:rsid w:val="005C2BFC"/>
    <w:rsid w:val="005C324B"/>
    <w:rsid w:val="005C43E2"/>
    <w:rsid w:val="005C454A"/>
    <w:rsid w:val="005C74C9"/>
    <w:rsid w:val="005D1B14"/>
    <w:rsid w:val="005D257B"/>
    <w:rsid w:val="005D52F1"/>
    <w:rsid w:val="005D5445"/>
    <w:rsid w:val="005D797B"/>
    <w:rsid w:val="005E1D5C"/>
    <w:rsid w:val="005E25DC"/>
    <w:rsid w:val="005E4DF7"/>
    <w:rsid w:val="005E52AE"/>
    <w:rsid w:val="005E5607"/>
    <w:rsid w:val="005E567C"/>
    <w:rsid w:val="005F505E"/>
    <w:rsid w:val="00601CE2"/>
    <w:rsid w:val="00602976"/>
    <w:rsid w:val="0060388D"/>
    <w:rsid w:val="00604231"/>
    <w:rsid w:val="006045EA"/>
    <w:rsid w:val="006064F4"/>
    <w:rsid w:val="006068F3"/>
    <w:rsid w:val="00610C2F"/>
    <w:rsid w:val="00615F2D"/>
    <w:rsid w:val="0062187C"/>
    <w:rsid w:val="00621E42"/>
    <w:rsid w:val="006239BC"/>
    <w:rsid w:val="00624888"/>
    <w:rsid w:val="00625805"/>
    <w:rsid w:val="00627AC4"/>
    <w:rsid w:val="00632388"/>
    <w:rsid w:val="0063253B"/>
    <w:rsid w:val="006363C8"/>
    <w:rsid w:val="00637AB8"/>
    <w:rsid w:val="0064370D"/>
    <w:rsid w:val="00643771"/>
    <w:rsid w:val="00644946"/>
    <w:rsid w:val="00646AB8"/>
    <w:rsid w:val="00647BD9"/>
    <w:rsid w:val="00651FE3"/>
    <w:rsid w:val="00654A3E"/>
    <w:rsid w:val="00657C37"/>
    <w:rsid w:val="006624A7"/>
    <w:rsid w:val="0066515F"/>
    <w:rsid w:val="006663E9"/>
    <w:rsid w:val="006668AF"/>
    <w:rsid w:val="00666C9B"/>
    <w:rsid w:val="00670A2B"/>
    <w:rsid w:val="00670A7E"/>
    <w:rsid w:val="0067278C"/>
    <w:rsid w:val="00673B55"/>
    <w:rsid w:val="00676803"/>
    <w:rsid w:val="00676DAA"/>
    <w:rsid w:val="00683028"/>
    <w:rsid w:val="006837D6"/>
    <w:rsid w:val="00686439"/>
    <w:rsid w:val="00687EE0"/>
    <w:rsid w:val="006963C7"/>
    <w:rsid w:val="00697A88"/>
    <w:rsid w:val="00697CF1"/>
    <w:rsid w:val="006A3443"/>
    <w:rsid w:val="006A6051"/>
    <w:rsid w:val="006A63DF"/>
    <w:rsid w:val="006B18EF"/>
    <w:rsid w:val="006B31D9"/>
    <w:rsid w:val="006C0102"/>
    <w:rsid w:val="006C07D4"/>
    <w:rsid w:val="006C1EAE"/>
    <w:rsid w:val="006C41AD"/>
    <w:rsid w:val="006D04BD"/>
    <w:rsid w:val="006D47EF"/>
    <w:rsid w:val="006D6644"/>
    <w:rsid w:val="006D7180"/>
    <w:rsid w:val="006E0F1C"/>
    <w:rsid w:val="006E433B"/>
    <w:rsid w:val="006E7899"/>
    <w:rsid w:val="006E7C78"/>
    <w:rsid w:val="006F0B4D"/>
    <w:rsid w:val="006F27F4"/>
    <w:rsid w:val="006F2E23"/>
    <w:rsid w:val="006F4C30"/>
    <w:rsid w:val="006F7024"/>
    <w:rsid w:val="00701FFC"/>
    <w:rsid w:val="00703A7C"/>
    <w:rsid w:val="007044B3"/>
    <w:rsid w:val="007076DA"/>
    <w:rsid w:val="00707860"/>
    <w:rsid w:val="00707C50"/>
    <w:rsid w:val="00711420"/>
    <w:rsid w:val="0071207B"/>
    <w:rsid w:val="0071573E"/>
    <w:rsid w:val="00717131"/>
    <w:rsid w:val="00717AA0"/>
    <w:rsid w:val="007207BF"/>
    <w:rsid w:val="00723FBE"/>
    <w:rsid w:val="00724483"/>
    <w:rsid w:val="00725CB0"/>
    <w:rsid w:val="0072712C"/>
    <w:rsid w:val="007316B5"/>
    <w:rsid w:val="007323A3"/>
    <w:rsid w:val="007327B2"/>
    <w:rsid w:val="00734BF9"/>
    <w:rsid w:val="0073517D"/>
    <w:rsid w:val="0073564E"/>
    <w:rsid w:val="0073685C"/>
    <w:rsid w:val="00737EA5"/>
    <w:rsid w:val="007400AE"/>
    <w:rsid w:val="00741F3E"/>
    <w:rsid w:val="00742F88"/>
    <w:rsid w:val="00743AA8"/>
    <w:rsid w:val="00745034"/>
    <w:rsid w:val="00750840"/>
    <w:rsid w:val="00752118"/>
    <w:rsid w:val="00757617"/>
    <w:rsid w:val="00760635"/>
    <w:rsid w:val="00763AD8"/>
    <w:rsid w:val="00765016"/>
    <w:rsid w:val="00767EDE"/>
    <w:rsid w:val="0077100C"/>
    <w:rsid w:val="00776C39"/>
    <w:rsid w:val="00777C5F"/>
    <w:rsid w:val="00777D32"/>
    <w:rsid w:val="007809E4"/>
    <w:rsid w:val="00781D00"/>
    <w:rsid w:val="00782054"/>
    <w:rsid w:val="007826B7"/>
    <w:rsid w:val="0078526F"/>
    <w:rsid w:val="007900F3"/>
    <w:rsid w:val="00791B69"/>
    <w:rsid w:val="00793297"/>
    <w:rsid w:val="0079498E"/>
    <w:rsid w:val="00794C55"/>
    <w:rsid w:val="00796F10"/>
    <w:rsid w:val="00797B45"/>
    <w:rsid w:val="007A3530"/>
    <w:rsid w:val="007A3FB6"/>
    <w:rsid w:val="007A6AB5"/>
    <w:rsid w:val="007A6C67"/>
    <w:rsid w:val="007B14D9"/>
    <w:rsid w:val="007B2B46"/>
    <w:rsid w:val="007B30F2"/>
    <w:rsid w:val="007B377F"/>
    <w:rsid w:val="007B4274"/>
    <w:rsid w:val="007B443D"/>
    <w:rsid w:val="007B5117"/>
    <w:rsid w:val="007B599D"/>
    <w:rsid w:val="007B6650"/>
    <w:rsid w:val="007B6A74"/>
    <w:rsid w:val="007B6C85"/>
    <w:rsid w:val="007C2DC8"/>
    <w:rsid w:val="007C6687"/>
    <w:rsid w:val="007D097E"/>
    <w:rsid w:val="007D230B"/>
    <w:rsid w:val="007D2D80"/>
    <w:rsid w:val="007D3681"/>
    <w:rsid w:val="007D3824"/>
    <w:rsid w:val="007D49A1"/>
    <w:rsid w:val="007D59DD"/>
    <w:rsid w:val="007D7F0A"/>
    <w:rsid w:val="007E1F66"/>
    <w:rsid w:val="007E1F7E"/>
    <w:rsid w:val="007E2CB5"/>
    <w:rsid w:val="007E4C10"/>
    <w:rsid w:val="007E6501"/>
    <w:rsid w:val="007E6C25"/>
    <w:rsid w:val="007F2323"/>
    <w:rsid w:val="007F32D7"/>
    <w:rsid w:val="007F4F97"/>
    <w:rsid w:val="007F669E"/>
    <w:rsid w:val="00801632"/>
    <w:rsid w:val="0080520B"/>
    <w:rsid w:val="00805B49"/>
    <w:rsid w:val="00807B3E"/>
    <w:rsid w:val="00810D4A"/>
    <w:rsid w:val="00812F82"/>
    <w:rsid w:val="008134FE"/>
    <w:rsid w:val="008146FD"/>
    <w:rsid w:val="00816AAB"/>
    <w:rsid w:val="00820402"/>
    <w:rsid w:val="00823DB8"/>
    <w:rsid w:val="008243B2"/>
    <w:rsid w:val="00824F08"/>
    <w:rsid w:val="008279E8"/>
    <w:rsid w:val="008310DF"/>
    <w:rsid w:val="00831105"/>
    <w:rsid w:val="00833F16"/>
    <w:rsid w:val="00835083"/>
    <w:rsid w:val="00835487"/>
    <w:rsid w:val="00835A58"/>
    <w:rsid w:val="00842D80"/>
    <w:rsid w:val="00843A14"/>
    <w:rsid w:val="00844A4B"/>
    <w:rsid w:val="008500EA"/>
    <w:rsid w:val="00853C10"/>
    <w:rsid w:val="00854676"/>
    <w:rsid w:val="0086402F"/>
    <w:rsid w:val="008651D1"/>
    <w:rsid w:val="00865296"/>
    <w:rsid w:val="008659C5"/>
    <w:rsid w:val="00867086"/>
    <w:rsid w:val="00871123"/>
    <w:rsid w:val="00874663"/>
    <w:rsid w:val="0087711C"/>
    <w:rsid w:val="00881B95"/>
    <w:rsid w:val="008831CA"/>
    <w:rsid w:val="00884E12"/>
    <w:rsid w:val="008870B4"/>
    <w:rsid w:val="00887FDA"/>
    <w:rsid w:val="00890F77"/>
    <w:rsid w:val="0089272A"/>
    <w:rsid w:val="00894890"/>
    <w:rsid w:val="00897247"/>
    <w:rsid w:val="008A1347"/>
    <w:rsid w:val="008B08F0"/>
    <w:rsid w:val="008B0CF9"/>
    <w:rsid w:val="008B262C"/>
    <w:rsid w:val="008B2DAD"/>
    <w:rsid w:val="008B6FC8"/>
    <w:rsid w:val="008C0342"/>
    <w:rsid w:val="008C19E9"/>
    <w:rsid w:val="008C26E9"/>
    <w:rsid w:val="008C774E"/>
    <w:rsid w:val="008D1397"/>
    <w:rsid w:val="008D1925"/>
    <w:rsid w:val="008D4652"/>
    <w:rsid w:val="008D6AD2"/>
    <w:rsid w:val="008D6D9D"/>
    <w:rsid w:val="008E312F"/>
    <w:rsid w:val="008F1691"/>
    <w:rsid w:val="008F22E2"/>
    <w:rsid w:val="008F3632"/>
    <w:rsid w:val="008F5698"/>
    <w:rsid w:val="008F639E"/>
    <w:rsid w:val="00901EF2"/>
    <w:rsid w:val="00903EB6"/>
    <w:rsid w:val="00904906"/>
    <w:rsid w:val="0090702F"/>
    <w:rsid w:val="00907318"/>
    <w:rsid w:val="009079D0"/>
    <w:rsid w:val="0091117F"/>
    <w:rsid w:val="00911487"/>
    <w:rsid w:val="00913D0A"/>
    <w:rsid w:val="00914519"/>
    <w:rsid w:val="009148A1"/>
    <w:rsid w:val="00924972"/>
    <w:rsid w:val="009309D7"/>
    <w:rsid w:val="00932E1E"/>
    <w:rsid w:val="00934068"/>
    <w:rsid w:val="00935ED2"/>
    <w:rsid w:val="00936348"/>
    <w:rsid w:val="00937854"/>
    <w:rsid w:val="009400F4"/>
    <w:rsid w:val="0094106B"/>
    <w:rsid w:val="009469E0"/>
    <w:rsid w:val="0094728D"/>
    <w:rsid w:val="009473BF"/>
    <w:rsid w:val="00951C4D"/>
    <w:rsid w:val="00952955"/>
    <w:rsid w:val="00952E03"/>
    <w:rsid w:val="0095396E"/>
    <w:rsid w:val="00953A8E"/>
    <w:rsid w:val="009542DC"/>
    <w:rsid w:val="009547E2"/>
    <w:rsid w:val="00956488"/>
    <w:rsid w:val="00956F5F"/>
    <w:rsid w:val="009579ED"/>
    <w:rsid w:val="009610DC"/>
    <w:rsid w:val="00962429"/>
    <w:rsid w:val="009669D2"/>
    <w:rsid w:val="00970055"/>
    <w:rsid w:val="0097154F"/>
    <w:rsid w:val="009774BA"/>
    <w:rsid w:val="00980946"/>
    <w:rsid w:val="00982096"/>
    <w:rsid w:val="0098457F"/>
    <w:rsid w:val="00985996"/>
    <w:rsid w:val="009859DE"/>
    <w:rsid w:val="00986425"/>
    <w:rsid w:val="00986978"/>
    <w:rsid w:val="00986C3B"/>
    <w:rsid w:val="00994F74"/>
    <w:rsid w:val="0099563A"/>
    <w:rsid w:val="009A0CAE"/>
    <w:rsid w:val="009A13F4"/>
    <w:rsid w:val="009A3DEF"/>
    <w:rsid w:val="009A44BE"/>
    <w:rsid w:val="009A50C4"/>
    <w:rsid w:val="009A6C5D"/>
    <w:rsid w:val="009A7AF6"/>
    <w:rsid w:val="009B029F"/>
    <w:rsid w:val="009B061B"/>
    <w:rsid w:val="009B27F8"/>
    <w:rsid w:val="009B4A8B"/>
    <w:rsid w:val="009B74FB"/>
    <w:rsid w:val="009C0660"/>
    <w:rsid w:val="009C0EF2"/>
    <w:rsid w:val="009C31A4"/>
    <w:rsid w:val="009C4845"/>
    <w:rsid w:val="009C7314"/>
    <w:rsid w:val="009D2442"/>
    <w:rsid w:val="009D46B6"/>
    <w:rsid w:val="009D5D9F"/>
    <w:rsid w:val="009D7F4D"/>
    <w:rsid w:val="009E0FA2"/>
    <w:rsid w:val="009E2244"/>
    <w:rsid w:val="009E2D42"/>
    <w:rsid w:val="009E57DF"/>
    <w:rsid w:val="009E5EE8"/>
    <w:rsid w:val="009F1B31"/>
    <w:rsid w:val="009F2744"/>
    <w:rsid w:val="009F57FD"/>
    <w:rsid w:val="009F7B92"/>
    <w:rsid w:val="009F7F9F"/>
    <w:rsid w:val="00A01E02"/>
    <w:rsid w:val="00A02E26"/>
    <w:rsid w:val="00A05BA0"/>
    <w:rsid w:val="00A107E7"/>
    <w:rsid w:val="00A10C74"/>
    <w:rsid w:val="00A159C9"/>
    <w:rsid w:val="00A167FB"/>
    <w:rsid w:val="00A21B70"/>
    <w:rsid w:val="00A21D02"/>
    <w:rsid w:val="00A21DDB"/>
    <w:rsid w:val="00A23CF6"/>
    <w:rsid w:val="00A2690C"/>
    <w:rsid w:val="00A2792F"/>
    <w:rsid w:val="00A30970"/>
    <w:rsid w:val="00A315E4"/>
    <w:rsid w:val="00A31C51"/>
    <w:rsid w:val="00A31D96"/>
    <w:rsid w:val="00A31FEE"/>
    <w:rsid w:val="00A33722"/>
    <w:rsid w:val="00A33C55"/>
    <w:rsid w:val="00A406C3"/>
    <w:rsid w:val="00A415DD"/>
    <w:rsid w:val="00A42875"/>
    <w:rsid w:val="00A44DC1"/>
    <w:rsid w:val="00A47168"/>
    <w:rsid w:val="00A47A98"/>
    <w:rsid w:val="00A47EE7"/>
    <w:rsid w:val="00A50B43"/>
    <w:rsid w:val="00A51C87"/>
    <w:rsid w:val="00A54197"/>
    <w:rsid w:val="00A5765D"/>
    <w:rsid w:val="00A602AA"/>
    <w:rsid w:val="00A61821"/>
    <w:rsid w:val="00A61E3A"/>
    <w:rsid w:val="00A6261E"/>
    <w:rsid w:val="00A631BA"/>
    <w:rsid w:val="00A65C27"/>
    <w:rsid w:val="00A670BA"/>
    <w:rsid w:val="00A67605"/>
    <w:rsid w:val="00A67CA5"/>
    <w:rsid w:val="00A74B0D"/>
    <w:rsid w:val="00A75374"/>
    <w:rsid w:val="00A75CCD"/>
    <w:rsid w:val="00A800A6"/>
    <w:rsid w:val="00A80506"/>
    <w:rsid w:val="00A806AE"/>
    <w:rsid w:val="00A8118F"/>
    <w:rsid w:val="00A83458"/>
    <w:rsid w:val="00A84B03"/>
    <w:rsid w:val="00A84D8C"/>
    <w:rsid w:val="00A856A9"/>
    <w:rsid w:val="00A86C41"/>
    <w:rsid w:val="00A90148"/>
    <w:rsid w:val="00A917F8"/>
    <w:rsid w:val="00AA0D8C"/>
    <w:rsid w:val="00AA25BC"/>
    <w:rsid w:val="00AA3077"/>
    <w:rsid w:val="00AA3E2A"/>
    <w:rsid w:val="00AA3F69"/>
    <w:rsid w:val="00AA46AF"/>
    <w:rsid w:val="00AA5AE7"/>
    <w:rsid w:val="00AB337C"/>
    <w:rsid w:val="00AB4E9E"/>
    <w:rsid w:val="00AB6C99"/>
    <w:rsid w:val="00AC11D5"/>
    <w:rsid w:val="00AC15E5"/>
    <w:rsid w:val="00AC22BB"/>
    <w:rsid w:val="00AC4080"/>
    <w:rsid w:val="00AC5A6D"/>
    <w:rsid w:val="00AC5D73"/>
    <w:rsid w:val="00AC73AD"/>
    <w:rsid w:val="00AC7BED"/>
    <w:rsid w:val="00AD067D"/>
    <w:rsid w:val="00AD5FFD"/>
    <w:rsid w:val="00AD705A"/>
    <w:rsid w:val="00AD78F9"/>
    <w:rsid w:val="00AE008D"/>
    <w:rsid w:val="00AE00CA"/>
    <w:rsid w:val="00AE30E0"/>
    <w:rsid w:val="00AE346F"/>
    <w:rsid w:val="00AE3AD5"/>
    <w:rsid w:val="00AF2329"/>
    <w:rsid w:val="00AF3660"/>
    <w:rsid w:val="00AF3E8F"/>
    <w:rsid w:val="00AF7A20"/>
    <w:rsid w:val="00B012C6"/>
    <w:rsid w:val="00B01312"/>
    <w:rsid w:val="00B013BD"/>
    <w:rsid w:val="00B02D98"/>
    <w:rsid w:val="00B038F8"/>
    <w:rsid w:val="00B04420"/>
    <w:rsid w:val="00B04ADE"/>
    <w:rsid w:val="00B06685"/>
    <w:rsid w:val="00B07D4B"/>
    <w:rsid w:val="00B13897"/>
    <w:rsid w:val="00B15D2F"/>
    <w:rsid w:val="00B16399"/>
    <w:rsid w:val="00B16824"/>
    <w:rsid w:val="00B1760F"/>
    <w:rsid w:val="00B177E5"/>
    <w:rsid w:val="00B24819"/>
    <w:rsid w:val="00B24F41"/>
    <w:rsid w:val="00B2586D"/>
    <w:rsid w:val="00B25AE4"/>
    <w:rsid w:val="00B265C9"/>
    <w:rsid w:val="00B26909"/>
    <w:rsid w:val="00B26EB7"/>
    <w:rsid w:val="00B27664"/>
    <w:rsid w:val="00B31169"/>
    <w:rsid w:val="00B31828"/>
    <w:rsid w:val="00B41E25"/>
    <w:rsid w:val="00B42BEE"/>
    <w:rsid w:val="00B452B7"/>
    <w:rsid w:val="00B458E3"/>
    <w:rsid w:val="00B45E0F"/>
    <w:rsid w:val="00B518FF"/>
    <w:rsid w:val="00B539D2"/>
    <w:rsid w:val="00B54F17"/>
    <w:rsid w:val="00B561EE"/>
    <w:rsid w:val="00B57D47"/>
    <w:rsid w:val="00B6210E"/>
    <w:rsid w:val="00B632E3"/>
    <w:rsid w:val="00B64DC8"/>
    <w:rsid w:val="00B70688"/>
    <w:rsid w:val="00B721B3"/>
    <w:rsid w:val="00B75FD9"/>
    <w:rsid w:val="00B77091"/>
    <w:rsid w:val="00B837C1"/>
    <w:rsid w:val="00B841E0"/>
    <w:rsid w:val="00B860BA"/>
    <w:rsid w:val="00B865F5"/>
    <w:rsid w:val="00B870A0"/>
    <w:rsid w:val="00B91DFE"/>
    <w:rsid w:val="00B92858"/>
    <w:rsid w:val="00B95668"/>
    <w:rsid w:val="00B966E9"/>
    <w:rsid w:val="00B96BC7"/>
    <w:rsid w:val="00B97229"/>
    <w:rsid w:val="00BA08A3"/>
    <w:rsid w:val="00BA3D7D"/>
    <w:rsid w:val="00BA4496"/>
    <w:rsid w:val="00BA5AB3"/>
    <w:rsid w:val="00BB227E"/>
    <w:rsid w:val="00BB38D4"/>
    <w:rsid w:val="00BB4F22"/>
    <w:rsid w:val="00BB7E3D"/>
    <w:rsid w:val="00BC0FCE"/>
    <w:rsid w:val="00BC244B"/>
    <w:rsid w:val="00BC3CD1"/>
    <w:rsid w:val="00BC5EC6"/>
    <w:rsid w:val="00BC5F0E"/>
    <w:rsid w:val="00BD2211"/>
    <w:rsid w:val="00BD221D"/>
    <w:rsid w:val="00BD3E65"/>
    <w:rsid w:val="00BD5934"/>
    <w:rsid w:val="00BD7785"/>
    <w:rsid w:val="00BE3841"/>
    <w:rsid w:val="00BE3B1D"/>
    <w:rsid w:val="00BE3B2E"/>
    <w:rsid w:val="00BE69BF"/>
    <w:rsid w:val="00BE7DE8"/>
    <w:rsid w:val="00BF0E87"/>
    <w:rsid w:val="00BF1CBD"/>
    <w:rsid w:val="00BF52C4"/>
    <w:rsid w:val="00BF62EC"/>
    <w:rsid w:val="00BF6458"/>
    <w:rsid w:val="00C006BE"/>
    <w:rsid w:val="00C05B8E"/>
    <w:rsid w:val="00C1063D"/>
    <w:rsid w:val="00C1258D"/>
    <w:rsid w:val="00C1540F"/>
    <w:rsid w:val="00C15E0E"/>
    <w:rsid w:val="00C214C1"/>
    <w:rsid w:val="00C226BC"/>
    <w:rsid w:val="00C23FB5"/>
    <w:rsid w:val="00C24A1A"/>
    <w:rsid w:val="00C3030D"/>
    <w:rsid w:val="00C331BB"/>
    <w:rsid w:val="00C3649F"/>
    <w:rsid w:val="00C36666"/>
    <w:rsid w:val="00C41A08"/>
    <w:rsid w:val="00C422B9"/>
    <w:rsid w:val="00C4240A"/>
    <w:rsid w:val="00C4241E"/>
    <w:rsid w:val="00C4614B"/>
    <w:rsid w:val="00C504EC"/>
    <w:rsid w:val="00C50EFE"/>
    <w:rsid w:val="00C56302"/>
    <w:rsid w:val="00C615A3"/>
    <w:rsid w:val="00C6198D"/>
    <w:rsid w:val="00C626A9"/>
    <w:rsid w:val="00C635DA"/>
    <w:rsid w:val="00C639E7"/>
    <w:rsid w:val="00C659BE"/>
    <w:rsid w:val="00C668D2"/>
    <w:rsid w:val="00C67B8F"/>
    <w:rsid w:val="00C7276F"/>
    <w:rsid w:val="00C72A68"/>
    <w:rsid w:val="00C7412C"/>
    <w:rsid w:val="00C775AC"/>
    <w:rsid w:val="00C80300"/>
    <w:rsid w:val="00C82307"/>
    <w:rsid w:val="00C85139"/>
    <w:rsid w:val="00C8613B"/>
    <w:rsid w:val="00C900DE"/>
    <w:rsid w:val="00C92622"/>
    <w:rsid w:val="00C97228"/>
    <w:rsid w:val="00C9780D"/>
    <w:rsid w:val="00CA02DA"/>
    <w:rsid w:val="00CA1A54"/>
    <w:rsid w:val="00CA1CB3"/>
    <w:rsid w:val="00CA655A"/>
    <w:rsid w:val="00CA6962"/>
    <w:rsid w:val="00CA6DE6"/>
    <w:rsid w:val="00CA7FB9"/>
    <w:rsid w:val="00CB3FFA"/>
    <w:rsid w:val="00CB76E8"/>
    <w:rsid w:val="00CC1BC3"/>
    <w:rsid w:val="00CC46B2"/>
    <w:rsid w:val="00CC5179"/>
    <w:rsid w:val="00CC5718"/>
    <w:rsid w:val="00CD1352"/>
    <w:rsid w:val="00CD1CBE"/>
    <w:rsid w:val="00CD1E1C"/>
    <w:rsid w:val="00CD1E3E"/>
    <w:rsid w:val="00CD2EDC"/>
    <w:rsid w:val="00CD32E2"/>
    <w:rsid w:val="00CD4B0B"/>
    <w:rsid w:val="00CD6698"/>
    <w:rsid w:val="00CE1E5B"/>
    <w:rsid w:val="00CF171A"/>
    <w:rsid w:val="00CF1D92"/>
    <w:rsid w:val="00CF2D92"/>
    <w:rsid w:val="00CF35A6"/>
    <w:rsid w:val="00CF5D91"/>
    <w:rsid w:val="00D0025C"/>
    <w:rsid w:val="00D004FB"/>
    <w:rsid w:val="00D02BBC"/>
    <w:rsid w:val="00D02BEE"/>
    <w:rsid w:val="00D02C36"/>
    <w:rsid w:val="00D12172"/>
    <w:rsid w:val="00D129E4"/>
    <w:rsid w:val="00D12B8C"/>
    <w:rsid w:val="00D13936"/>
    <w:rsid w:val="00D15CB7"/>
    <w:rsid w:val="00D200F6"/>
    <w:rsid w:val="00D21646"/>
    <w:rsid w:val="00D2171F"/>
    <w:rsid w:val="00D24AC3"/>
    <w:rsid w:val="00D2659D"/>
    <w:rsid w:val="00D334A5"/>
    <w:rsid w:val="00D3431F"/>
    <w:rsid w:val="00D36A3A"/>
    <w:rsid w:val="00D37452"/>
    <w:rsid w:val="00D400E7"/>
    <w:rsid w:val="00D4421D"/>
    <w:rsid w:val="00D454F2"/>
    <w:rsid w:val="00D45F61"/>
    <w:rsid w:val="00D47CE9"/>
    <w:rsid w:val="00D5169A"/>
    <w:rsid w:val="00D52995"/>
    <w:rsid w:val="00D54E82"/>
    <w:rsid w:val="00D55690"/>
    <w:rsid w:val="00D60425"/>
    <w:rsid w:val="00D6352D"/>
    <w:rsid w:val="00D728AD"/>
    <w:rsid w:val="00D72ADE"/>
    <w:rsid w:val="00D73546"/>
    <w:rsid w:val="00D75131"/>
    <w:rsid w:val="00D75233"/>
    <w:rsid w:val="00D7679B"/>
    <w:rsid w:val="00D7728F"/>
    <w:rsid w:val="00D77696"/>
    <w:rsid w:val="00D81CC4"/>
    <w:rsid w:val="00D830DC"/>
    <w:rsid w:val="00D85B12"/>
    <w:rsid w:val="00D86B74"/>
    <w:rsid w:val="00D92E06"/>
    <w:rsid w:val="00D9765E"/>
    <w:rsid w:val="00DA0904"/>
    <w:rsid w:val="00DA1473"/>
    <w:rsid w:val="00DA4591"/>
    <w:rsid w:val="00DA4AE5"/>
    <w:rsid w:val="00DA6430"/>
    <w:rsid w:val="00DA681A"/>
    <w:rsid w:val="00DA6B7E"/>
    <w:rsid w:val="00DB618B"/>
    <w:rsid w:val="00DB63BE"/>
    <w:rsid w:val="00DB63DB"/>
    <w:rsid w:val="00DB7824"/>
    <w:rsid w:val="00DC070D"/>
    <w:rsid w:val="00DC2D24"/>
    <w:rsid w:val="00DC308E"/>
    <w:rsid w:val="00DC5E0F"/>
    <w:rsid w:val="00DC6C76"/>
    <w:rsid w:val="00DC7F73"/>
    <w:rsid w:val="00DD1F88"/>
    <w:rsid w:val="00DE191A"/>
    <w:rsid w:val="00DE1A0F"/>
    <w:rsid w:val="00DE3123"/>
    <w:rsid w:val="00DE339F"/>
    <w:rsid w:val="00DE4970"/>
    <w:rsid w:val="00DE65D3"/>
    <w:rsid w:val="00DF1535"/>
    <w:rsid w:val="00DF53F5"/>
    <w:rsid w:val="00DF61FD"/>
    <w:rsid w:val="00DF6D25"/>
    <w:rsid w:val="00DF7199"/>
    <w:rsid w:val="00E00FE3"/>
    <w:rsid w:val="00E03C6D"/>
    <w:rsid w:val="00E07BFA"/>
    <w:rsid w:val="00E11EE3"/>
    <w:rsid w:val="00E135F9"/>
    <w:rsid w:val="00E14349"/>
    <w:rsid w:val="00E20C28"/>
    <w:rsid w:val="00E21565"/>
    <w:rsid w:val="00E22A77"/>
    <w:rsid w:val="00E22E84"/>
    <w:rsid w:val="00E24B18"/>
    <w:rsid w:val="00E3016C"/>
    <w:rsid w:val="00E348BC"/>
    <w:rsid w:val="00E35B8D"/>
    <w:rsid w:val="00E4307D"/>
    <w:rsid w:val="00E4318F"/>
    <w:rsid w:val="00E4392E"/>
    <w:rsid w:val="00E44866"/>
    <w:rsid w:val="00E50B9E"/>
    <w:rsid w:val="00E53B04"/>
    <w:rsid w:val="00E54395"/>
    <w:rsid w:val="00E54741"/>
    <w:rsid w:val="00E568E5"/>
    <w:rsid w:val="00E57AAD"/>
    <w:rsid w:val="00E6396F"/>
    <w:rsid w:val="00E6453F"/>
    <w:rsid w:val="00E647AA"/>
    <w:rsid w:val="00E659EF"/>
    <w:rsid w:val="00E677A6"/>
    <w:rsid w:val="00E70CBD"/>
    <w:rsid w:val="00E717E8"/>
    <w:rsid w:val="00E72BAF"/>
    <w:rsid w:val="00E73D81"/>
    <w:rsid w:val="00E754F4"/>
    <w:rsid w:val="00E808BF"/>
    <w:rsid w:val="00E865D1"/>
    <w:rsid w:val="00EA057C"/>
    <w:rsid w:val="00EA2D3D"/>
    <w:rsid w:val="00EA53FE"/>
    <w:rsid w:val="00EA5B84"/>
    <w:rsid w:val="00EB1918"/>
    <w:rsid w:val="00EB20F9"/>
    <w:rsid w:val="00EB24EB"/>
    <w:rsid w:val="00EB34AF"/>
    <w:rsid w:val="00EC136B"/>
    <w:rsid w:val="00EC4235"/>
    <w:rsid w:val="00EC7512"/>
    <w:rsid w:val="00ED06CC"/>
    <w:rsid w:val="00ED17BB"/>
    <w:rsid w:val="00ED1899"/>
    <w:rsid w:val="00ED2C8E"/>
    <w:rsid w:val="00ED379E"/>
    <w:rsid w:val="00ED636C"/>
    <w:rsid w:val="00ED7680"/>
    <w:rsid w:val="00EE0424"/>
    <w:rsid w:val="00EE07D0"/>
    <w:rsid w:val="00EE0D47"/>
    <w:rsid w:val="00EE2F91"/>
    <w:rsid w:val="00EE3534"/>
    <w:rsid w:val="00EE5358"/>
    <w:rsid w:val="00EF19D8"/>
    <w:rsid w:val="00EF1B6A"/>
    <w:rsid w:val="00EF3C59"/>
    <w:rsid w:val="00EF54D8"/>
    <w:rsid w:val="00EF71E9"/>
    <w:rsid w:val="00EF799A"/>
    <w:rsid w:val="00F006D2"/>
    <w:rsid w:val="00F00BD1"/>
    <w:rsid w:val="00F01FD9"/>
    <w:rsid w:val="00F03E9B"/>
    <w:rsid w:val="00F04B07"/>
    <w:rsid w:val="00F05947"/>
    <w:rsid w:val="00F05BA8"/>
    <w:rsid w:val="00F11671"/>
    <w:rsid w:val="00F1397A"/>
    <w:rsid w:val="00F15FF7"/>
    <w:rsid w:val="00F16F13"/>
    <w:rsid w:val="00F1725D"/>
    <w:rsid w:val="00F20AEA"/>
    <w:rsid w:val="00F219C3"/>
    <w:rsid w:val="00F23E9A"/>
    <w:rsid w:val="00F242D9"/>
    <w:rsid w:val="00F259FE"/>
    <w:rsid w:val="00F3020B"/>
    <w:rsid w:val="00F30B33"/>
    <w:rsid w:val="00F34185"/>
    <w:rsid w:val="00F3715D"/>
    <w:rsid w:val="00F3792C"/>
    <w:rsid w:val="00F44B62"/>
    <w:rsid w:val="00F45949"/>
    <w:rsid w:val="00F461E7"/>
    <w:rsid w:val="00F5072C"/>
    <w:rsid w:val="00F51CBF"/>
    <w:rsid w:val="00F526D5"/>
    <w:rsid w:val="00F5411D"/>
    <w:rsid w:val="00F56D2B"/>
    <w:rsid w:val="00F57D2D"/>
    <w:rsid w:val="00F606D8"/>
    <w:rsid w:val="00F62A49"/>
    <w:rsid w:val="00F64F0D"/>
    <w:rsid w:val="00F7026A"/>
    <w:rsid w:val="00F71826"/>
    <w:rsid w:val="00F72B45"/>
    <w:rsid w:val="00F73B00"/>
    <w:rsid w:val="00F764EE"/>
    <w:rsid w:val="00F77D04"/>
    <w:rsid w:val="00F84737"/>
    <w:rsid w:val="00F87B69"/>
    <w:rsid w:val="00F905AB"/>
    <w:rsid w:val="00F90C95"/>
    <w:rsid w:val="00F9103E"/>
    <w:rsid w:val="00F95923"/>
    <w:rsid w:val="00F96A39"/>
    <w:rsid w:val="00F96DB3"/>
    <w:rsid w:val="00F97463"/>
    <w:rsid w:val="00FA124C"/>
    <w:rsid w:val="00FA44B6"/>
    <w:rsid w:val="00FA4B50"/>
    <w:rsid w:val="00FA4DC6"/>
    <w:rsid w:val="00FA5D99"/>
    <w:rsid w:val="00FB030E"/>
    <w:rsid w:val="00FB0B80"/>
    <w:rsid w:val="00FB571F"/>
    <w:rsid w:val="00FB572C"/>
    <w:rsid w:val="00FC01D1"/>
    <w:rsid w:val="00FC1E22"/>
    <w:rsid w:val="00FC42BA"/>
    <w:rsid w:val="00FC6166"/>
    <w:rsid w:val="00FC77BB"/>
    <w:rsid w:val="00FD08C1"/>
    <w:rsid w:val="00FD2C54"/>
    <w:rsid w:val="00FD7A7A"/>
    <w:rsid w:val="00FE10C1"/>
    <w:rsid w:val="00FE190E"/>
    <w:rsid w:val="00FE20A9"/>
    <w:rsid w:val="00FE48A9"/>
    <w:rsid w:val="00FF08B7"/>
    <w:rsid w:val="00FF12B8"/>
    <w:rsid w:val="00FF13B9"/>
    <w:rsid w:val="00FF171B"/>
    <w:rsid w:val="00FF521D"/>
    <w:rsid w:val="00FF7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38465D"/>
    <w:pPr>
      <w:keepNext/>
      <w:keepLines/>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38465D"/>
    <w:rPr>
      <w:rFonts w:ascii="Calibri Light" w:hAnsi="Calibri Light" w:cstheme="minorHAnsi"/>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E4DF7"/>
    <w:pPr>
      <w:numPr>
        <w:numId w:val="38"/>
      </w:numPr>
      <w:spacing w:before="0" w:after="0" w:line="240" w:lineRule="auto"/>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D7679B"/>
    <w:pPr>
      <w:keepNext/>
      <w:keepLines/>
      <w:spacing w:line="320" w:lineRule="exact"/>
      <w:contextualSpacing/>
      <w:jc w:val="center"/>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D7679B"/>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16415E"/>
    <w:pPr>
      <w:spacing w:before="20" w:after="20"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16415E"/>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character" w:styleId="Emphasis">
    <w:name w:val="Emphasis"/>
    <w:basedOn w:val="DefaultParagraphFont"/>
    <w:uiPriority w:val="20"/>
    <w:qFormat/>
    <w:rsid w:val="00A107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483497">
      <w:bodyDiv w:val="1"/>
      <w:marLeft w:val="0"/>
      <w:marRight w:val="0"/>
      <w:marTop w:val="0"/>
      <w:marBottom w:val="0"/>
      <w:divBdr>
        <w:top w:val="none" w:sz="0" w:space="0" w:color="auto"/>
        <w:left w:val="none" w:sz="0" w:space="0" w:color="auto"/>
        <w:bottom w:val="none" w:sz="0" w:space="0" w:color="auto"/>
        <w:right w:val="none" w:sz="0" w:space="0" w:color="auto"/>
      </w:divBdr>
    </w:div>
    <w:div w:id="599485212">
      <w:bodyDiv w:val="1"/>
      <w:marLeft w:val="0"/>
      <w:marRight w:val="0"/>
      <w:marTop w:val="0"/>
      <w:marBottom w:val="0"/>
      <w:divBdr>
        <w:top w:val="none" w:sz="0" w:space="0" w:color="auto"/>
        <w:left w:val="none" w:sz="0" w:space="0" w:color="auto"/>
        <w:bottom w:val="none" w:sz="0" w:space="0" w:color="auto"/>
        <w:right w:val="none" w:sz="0" w:space="0" w:color="auto"/>
      </w:divBdr>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C:\Users\nfette\OneDrive%20-%20Lincus,%20Inc\TS\For-Akhilesh\2019-05-20%20QC%20Water-cooled%20chiller%20step7\07_Solaris_2019-05-20\SWHC005-01%20Water-cooled%20chiller_07_Solaris_05192020.doc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8E688-AF09-4603-BEEE-C95E5E63C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0</TotalTime>
  <Pages>12</Pages>
  <Words>3792</Words>
  <Characters>21616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25358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2</cp:revision>
  <cp:lastPrinted>2017-06-29T20:58:00Z</cp:lastPrinted>
  <dcterms:created xsi:type="dcterms:W3CDTF">2019-06-26T22:44:00Z</dcterms:created>
  <dcterms:modified xsi:type="dcterms:W3CDTF">2019-06-26T22:44:00Z</dcterms:modified>
  <cp:category/>
</cp:coreProperties>
</file>